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16" w:rsidRPr="0095512B" w:rsidRDefault="008F1F16" w:rsidP="00FA1C57">
      <w:pPr>
        <w:jc w:val="center"/>
        <w:rPr>
          <w:rStyle w:val="30"/>
          <w:color w:val="000000"/>
          <w:szCs w:val="36"/>
        </w:rPr>
      </w:pPr>
      <w:r w:rsidRPr="0095512B">
        <w:rPr>
          <w:rStyle w:val="30"/>
          <w:bCs/>
          <w:color w:val="000000"/>
          <w:szCs w:val="36"/>
        </w:rPr>
        <w:t>Ишемическая болезнь сердца</w:t>
      </w:r>
    </w:p>
    <w:p w:rsidR="008F1F16" w:rsidRPr="0095512B" w:rsidRDefault="008F1F16" w:rsidP="00FA1C57">
      <w:pPr>
        <w:jc w:val="center"/>
        <w:rPr>
          <w:rFonts w:ascii="Times New Roman" w:hAnsi="Times New Roman"/>
          <w:sz w:val="36"/>
          <w:szCs w:val="36"/>
        </w:rPr>
      </w:pPr>
    </w:p>
    <w:p w:rsidR="008F1F16" w:rsidRPr="0095512B" w:rsidRDefault="008F1F16" w:rsidP="00FA1C57">
      <w:pPr>
        <w:jc w:val="center"/>
        <w:rPr>
          <w:rFonts w:ascii="Times New Roman" w:hAnsi="Times New Roman"/>
          <w:sz w:val="36"/>
          <w:szCs w:val="36"/>
        </w:rPr>
      </w:pPr>
      <w:r w:rsidRPr="0095512B">
        <w:rPr>
          <w:rStyle w:val="30"/>
          <w:bCs/>
          <w:color w:val="000000"/>
          <w:szCs w:val="36"/>
        </w:rPr>
        <w:t xml:space="preserve">«Опережающее» применение </w:t>
      </w:r>
      <w:proofErr w:type="spellStart"/>
      <w:r w:rsidRPr="0095512B">
        <w:rPr>
          <w:rStyle w:val="30"/>
          <w:bCs/>
          <w:color w:val="000000"/>
          <w:szCs w:val="36"/>
        </w:rPr>
        <w:t>клопидогреля</w:t>
      </w:r>
      <w:proofErr w:type="spellEnd"/>
      <w:r w:rsidRPr="0095512B">
        <w:rPr>
          <w:rStyle w:val="30"/>
          <w:bCs/>
          <w:color w:val="000000"/>
          <w:szCs w:val="36"/>
        </w:rPr>
        <w:t xml:space="preserve"> и </w:t>
      </w:r>
      <w:proofErr w:type="gramStart"/>
      <w:r w:rsidRPr="0095512B">
        <w:rPr>
          <w:rStyle w:val="30"/>
          <w:bCs/>
          <w:color w:val="000000"/>
          <w:szCs w:val="36"/>
        </w:rPr>
        <w:t>эффективность</w:t>
      </w:r>
      <w:proofErr w:type="gramEnd"/>
      <w:r w:rsidRPr="0095512B">
        <w:rPr>
          <w:rStyle w:val="30"/>
          <w:bCs/>
          <w:color w:val="000000"/>
          <w:szCs w:val="36"/>
        </w:rPr>
        <w:t xml:space="preserve"> и безопасность лечения </w:t>
      </w:r>
      <w:proofErr w:type="spellStart"/>
      <w:r w:rsidRPr="0095512B">
        <w:rPr>
          <w:rStyle w:val="30"/>
          <w:bCs/>
          <w:color w:val="000000"/>
          <w:szCs w:val="36"/>
        </w:rPr>
        <w:t>эптифибатидом</w:t>
      </w:r>
      <w:proofErr w:type="spellEnd"/>
      <w:r w:rsidRPr="0095512B">
        <w:rPr>
          <w:rStyle w:val="30"/>
          <w:bCs/>
          <w:color w:val="000000"/>
          <w:szCs w:val="36"/>
        </w:rPr>
        <w:t xml:space="preserve"> у пациентов с острым коронарным синдромом</w:t>
      </w:r>
    </w:p>
    <w:p w:rsidR="008F1F16" w:rsidRPr="0095512B" w:rsidRDefault="008F1F16" w:rsidP="00FA1C57">
      <w:pPr>
        <w:jc w:val="center"/>
        <w:rPr>
          <w:rFonts w:ascii="Times New Roman" w:hAnsi="Times New Roman"/>
          <w:sz w:val="36"/>
          <w:szCs w:val="36"/>
        </w:rPr>
      </w:pPr>
      <w:r w:rsidRPr="0095512B">
        <w:rPr>
          <w:rStyle w:val="32"/>
          <w:bCs/>
          <w:sz w:val="36"/>
          <w:szCs w:val="36"/>
        </w:rPr>
        <w:t xml:space="preserve">Анализ раннего ингибирования гликопротеина </w:t>
      </w:r>
      <w:proofErr w:type="spellStart"/>
      <w:r w:rsidRPr="0095512B">
        <w:rPr>
          <w:rStyle w:val="32"/>
          <w:bCs/>
          <w:sz w:val="36"/>
          <w:szCs w:val="36"/>
        </w:rPr>
        <w:t>IIb</w:t>
      </w:r>
      <w:proofErr w:type="spellEnd"/>
      <w:r w:rsidRPr="0095512B">
        <w:rPr>
          <w:rStyle w:val="32"/>
          <w:bCs/>
          <w:sz w:val="36"/>
          <w:szCs w:val="36"/>
        </w:rPr>
        <w:t>/</w:t>
      </w:r>
      <w:proofErr w:type="spellStart"/>
      <w:r w:rsidRPr="0095512B">
        <w:rPr>
          <w:rStyle w:val="32"/>
          <w:bCs/>
          <w:sz w:val="36"/>
          <w:szCs w:val="36"/>
        </w:rPr>
        <w:t>IIIa</w:t>
      </w:r>
      <w:proofErr w:type="spellEnd"/>
      <w:r w:rsidRPr="0095512B">
        <w:rPr>
          <w:rStyle w:val="32"/>
          <w:bCs/>
          <w:sz w:val="36"/>
          <w:szCs w:val="36"/>
        </w:rPr>
        <w:t xml:space="preserve"> у пациентов с острым коронарным синдромом без подъема сегмента ST</w:t>
      </w:r>
    </w:p>
    <w:p w:rsidR="008F1F16" w:rsidRPr="0095512B" w:rsidRDefault="008F1F16" w:rsidP="00FA1C57">
      <w:pPr>
        <w:jc w:val="center"/>
        <w:rPr>
          <w:rFonts w:ascii="Times New Roman" w:hAnsi="Times New Roman"/>
          <w:sz w:val="36"/>
          <w:szCs w:val="36"/>
        </w:rPr>
      </w:pPr>
      <w:r w:rsidRPr="0095512B">
        <w:rPr>
          <w:rStyle w:val="32"/>
          <w:bCs/>
          <w:sz w:val="36"/>
          <w:szCs w:val="36"/>
        </w:rPr>
        <w:t>Исследование (EARLY ACS)</w:t>
      </w:r>
    </w:p>
    <w:p w:rsidR="008F1F16" w:rsidRPr="0095512B" w:rsidRDefault="008F1F16" w:rsidP="00FA1C57">
      <w:pPr>
        <w:rPr>
          <w:rStyle w:val="40"/>
          <w:sz w:val="36"/>
          <w:szCs w:val="36"/>
        </w:rPr>
      </w:pPr>
    </w:p>
    <w:p w:rsidR="008F1F16" w:rsidRPr="00761019" w:rsidRDefault="008F1F16" w:rsidP="0095512B">
      <w:pPr>
        <w:jc w:val="center"/>
        <w:rPr>
          <w:rStyle w:val="40"/>
          <w:sz w:val="24"/>
          <w:szCs w:val="24"/>
        </w:rPr>
      </w:pPr>
      <w:proofErr w:type="spellStart"/>
      <w:r w:rsidRPr="00761019">
        <w:rPr>
          <w:rStyle w:val="40"/>
          <w:sz w:val="24"/>
          <w:szCs w:val="24"/>
        </w:rPr>
        <w:t>Tracy</w:t>
      </w:r>
      <w:proofErr w:type="spellEnd"/>
      <w:r w:rsidRPr="00761019">
        <w:rPr>
          <w:rStyle w:val="40"/>
          <w:sz w:val="24"/>
          <w:szCs w:val="24"/>
        </w:rPr>
        <w:t xml:space="preserve"> Y. </w:t>
      </w:r>
      <w:proofErr w:type="spellStart"/>
      <w:r w:rsidRPr="00761019">
        <w:rPr>
          <w:rStyle w:val="40"/>
          <w:sz w:val="24"/>
          <w:szCs w:val="24"/>
        </w:rPr>
        <w:t>Wang</w:t>
      </w:r>
      <w:proofErr w:type="spellEnd"/>
      <w:r w:rsidRPr="00761019">
        <w:rPr>
          <w:rStyle w:val="40"/>
          <w:sz w:val="24"/>
          <w:szCs w:val="24"/>
        </w:rPr>
        <w:t xml:space="preserve">, MD, MHS, </w:t>
      </w:r>
      <w:proofErr w:type="spellStart"/>
      <w:r w:rsidRPr="00761019">
        <w:rPr>
          <w:rStyle w:val="40"/>
          <w:sz w:val="24"/>
          <w:szCs w:val="24"/>
        </w:rPr>
        <w:t>MSc</w:t>
      </w:r>
      <w:proofErr w:type="spellEnd"/>
      <w:r w:rsidRPr="00761019">
        <w:rPr>
          <w:rStyle w:val="40"/>
          <w:sz w:val="24"/>
          <w:szCs w:val="24"/>
        </w:rPr>
        <w:t xml:space="preserve">; </w:t>
      </w:r>
      <w:proofErr w:type="spellStart"/>
      <w:r w:rsidRPr="00761019">
        <w:rPr>
          <w:rStyle w:val="40"/>
          <w:sz w:val="24"/>
          <w:szCs w:val="24"/>
        </w:rPr>
        <w:t>Jennifer</w:t>
      </w:r>
      <w:proofErr w:type="spellEnd"/>
      <w:r w:rsidRPr="00761019">
        <w:rPr>
          <w:rStyle w:val="40"/>
          <w:sz w:val="24"/>
          <w:szCs w:val="24"/>
        </w:rPr>
        <w:t xml:space="preserve"> A. </w:t>
      </w:r>
      <w:proofErr w:type="spellStart"/>
      <w:r w:rsidRPr="00761019">
        <w:rPr>
          <w:rStyle w:val="40"/>
          <w:sz w:val="24"/>
          <w:szCs w:val="24"/>
        </w:rPr>
        <w:t>White</w:t>
      </w:r>
      <w:proofErr w:type="spellEnd"/>
      <w:r w:rsidRPr="00761019">
        <w:rPr>
          <w:rStyle w:val="40"/>
          <w:sz w:val="24"/>
          <w:szCs w:val="24"/>
        </w:rPr>
        <w:t xml:space="preserve">, MS; </w:t>
      </w:r>
      <w:proofErr w:type="spellStart"/>
      <w:r w:rsidRPr="00761019">
        <w:rPr>
          <w:rStyle w:val="40"/>
          <w:sz w:val="24"/>
          <w:szCs w:val="24"/>
        </w:rPr>
        <w:t>Pierluigi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Tricoci</w:t>
      </w:r>
      <w:proofErr w:type="spellEnd"/>
      <w:r w:rsidRPr="00761019">
        <w:rPr>
          <w:rStyle w:val="40"/>
          <w:sz w:val="24"/>
          <w:szCs w:val="24"/>
        </w:rPr>
        <w:t xml:space="preserve">, MD, </w:t>
      </w:r>
      <w:proofErr w:type="spellStart"/>
      <w:r w:rsidRPr="00761019">
        <w:rPr>
          <w:rStyle w:val="40"/>
          <w:sz w:val="24"/>
          <w:szCs w:val="24"/>
        </w:rPr>
        <w:t>PhD</w:t>
      </w:r>
      <w:proofErr w:type="spellEnd"/>
      <w:r w:rsidRPr="00761019">
        <w:rPr>
          <w:rStyle w:val="40"/>
          <w:sz w:val="24"/>
          <w:szCs w:val="24"/>
        </w:rPr>
        <w:t xml:space="preserve">, MHS; </w:t>
      </w:r>
      <w:proofErr w:type="spellStart"/>
      <w:r w:rsidRPr="00761019">
        <w:rPr>
          <w:rStyle w:val="40"/>
          <w:sz w:val="24"/>
          <w:szCs w:val="24"/>
        </w:rPr>
        <w:t>Robert</w:t>
      </w:r>
      <w:proofErr w:type="spellEnd"/>
      <w:r w:rsidRPr="00761019">
        <w:rPr>
          <w:rStyle w:val="40"/>
          <w:sz w:val="24"/>
          <w:szCs w:val="24"/>
        </w:rPr>
        <w:t xml:space="preserve"> P. </w:t>
      </w:r>
      <w:proofErr w:type="spellStart"/>
      <w:r w:rsidRPr="00761019">
        <w:rPr>
          <w:rStyle w:val="40"/>
          <w:sz w:val="24"/>
          <w:szCs w:val="24"/>
        </w:rPr>
        <w:t>Giugliano</w:t>
      </w:r>
      <w:proofErr w:type="spellEnd"/>
      <w:r w:rsidRPr="00761019">
        <w:rPr>
          <w:rStyle w:val="40"/>
          <w:sz w:val="24"/>
          <w:szCs w:val="24"/>
        </w:rPr>
        <w:t xml:space="preserve">, MD, SM; </w:t>
      </w:r>
      <w:proofErr w:type="spellStart"/>
      <w:r w:rsidRPr="00761019">
        <w:rPr>
          <w:rStyle w:val="40"/>
          <w:sz w:val="24"/>
          <w:szCs w:val="24"/>
        </w:rPr>
        <w:t>Uwe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Zeymer</w:t>
      </w:r>
      <w:proofErr w:type="spellEnd"/>
      <w:r w:rsidRPr="00761019">
        <w:rPr>
          <w:rStyle w:val="40"/>
          <w:sz w:val="24"/>
          <w:szCs w:val="24"/>
        </w:rPr>
        <w:t xml:space="preserve">, MD; </w:t>
      </w:r>
      <w:proofErr w:type="spellStart"/>
      <w:r w:rsidRPr="00761019">
        <w:rPr>
          <w:rStyle w:val="40"/>
          <w:sz w:val="24"/>
          <w:szCs w:val="24"/>
        </w:rPr>
        <w:t>Robert</w:t>
      </w:r>
      <w:proofErr w:type="spellEnd"/>
      <w:r w:rsidRPr="00761019">
        <w:rPr>
          <w:rStyle w:val="40"/>
          <w:sz w:val="24"/>
          <w:szCs w:val="24"/>
        </w:rPr>
        <w:t xml:space="preserve"> A. </w:t>
      </w:r>
      <w:proofErr w:type="spellStart"/>
      <w:r w:rsidRPr="00761019">
        <w:rPr>
          <w:rStyle w:val="40"/>
          <w:sz w:val="24"/>
          <w:szCs w:val="24"/>
        </w:rPr>
        <w:t>Harrington</w:t>
      </w:r>
      <w:proofErr w:type="spellEnd"/>
      <w:r w:rsidRPr="00761019">
        <w:rPr>
          <w:rStyle w:val="40"/>
          <w:sz w:val="24"/>
          <w:szCs w:val="24"/>
        </w:rPr>
        <w:t xml:space="preserve">, MD; </w:t>
      </w:r>
      <w:proofErr w:type="spellStart"/>
      <w:r w:rsidRPr="00761019">
        <w:rPr>
          <w:rStyle w:val="40"/>
          <w:sz w:val="24"/>
          <w:szCs w:val="24"/>
        </w:rPr>
        <w:t>Gilles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Montalescot</w:t>
      </w:r>
      <w:proofErr w:type="spellEnd"/>
      <w:r w:rsidRPr="00761019">
        <w:rPr>
          <w:rStyle w:val="40"/>
          <w:sz w:val="24"/>
          <w:szCs w:val="24"/>
        </w:rPr>
        <w:t xml:space="preserve">, MD, </w:t>
      </w:r>
      <w:proofErr w:type="spellStart"/>
      <w:r w:rsidRPr="00761019">
        <w:rPr>
          <w:rStyle w:val="40"/>
          <w:sz w:val="24"/>
          <w:szCs w:val="24"/>
        </w:rPr>
        <w:t>PhD</w:t>
      </w:r>
      <w:proofErr w:type="spellEnd"/>
      <w:r w:rsidRPr="00761019">
        <w:rPr>
          <w:rStyle w:val="40"/>
          <w:sz w:val="24"/>
          <w:szCs w:val="24"/>
        </w:rPr>
        <w:t xml:space="preserve">; </w:t>
      </w:r>
      <w:proofErr w:type="spellStart"/>
      <w:r w:rsidRPr="00761019">
        <w:rPr>
          <w:rStyle w:val="40"/>
          <w:sz w:val="24"/>
          <w:szCs w:val="24"/>
        </w:rPr>
        <w:t>Stefan</w:t>
      </w:r>
      <w:proofErr w:type="spellEnd"/>
      <w:r w:rsidRPr="00761019">
        <w:rPr>
          <w:rStyle w:val="40"/>
          <w:sz w:val="24"/>
          <w:szCs w:val="24"/>
        </w:rPr>
        <w:t xml:space="preserve"> K. </w:t>
      </w:r>
      <w:proofErr w:type="spellStart"/>
      <w:r w:rsidRPr="00761019">
        <w:rPr>
          <w:rStyle w:val="40"/>
          <w:sz w:val="24"/>
          <w:szCs w:val="24"/>
        </w:rPr>
        <w:t>James</w:t>
      </w:r>
      <w:proofErr w:type="spellEnd"/>
      <w:r w:rsidRPr="00761019">
        <w:rPr>
          <w:rStyle w:val="40"/>
          <w:sz w:val="24"/>
          <w:szCs w:val="24"/>
        </w:rPr>
        <w:t xml:space="preserve">, MD, </w:t>
      </w:r>
      <w:proofErr w:type="spellStart"/>
      <w:r w:rsidRPr="00761019">
        <w:rPr>
          <w:rStyle w:val="40"/>
          <w:sz w:val="24"/>
          <w:szCs w:val="24"/>
        </w:rPr>
        <w:t>PhD</w:t>
      </w:r>
      <w:proofErr w:type="spellEnd"/>
      <w:r w:rsidRPr="00761019">
        <w:rPr>
          <w:rStyle w:val="40"/>
          <w:sz w:val="24"/>
          <w:szCs w:val="24"/>
        </w:rPr>
        <w:t xml:space="preserve">; </w:t>
      </w:r>
      <w:proofErr w:type="spellStart"/>
      <w:r w:rsidRPr="00761019">
        <w:rPr>
          <w:rStyle w:val="40"/>
          <w:sz w:val="24"/>
          <w:szCs w:val="24"/>
        </w:rPr>
        <w:t>Frans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Van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de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Werf</w:t>
      </w:r>
      <w:proofErr w:type="spellEnd"/>
      <w:r w:rsidRPr="00761019">
        <w:rPr>
          <w:rStyle w:val="40"/>
          <w:sz w:val="24"/>
          <w:szCs w:val="24"/>
        </w:rPr>
        <w:t xml:space="preserve">, MD, </w:t>
      </w:r>
      <w:proofErr w:type="spellStart"/>
      <w:r w:rsidRPr="00761019">
        <w:rPr>
          <w:rStyle w:val="40"/>
          <w:sz w:val="24"/>
          <w:szCs w:val="24"/>
        </w:rPr>
        <w:t>PhD</w:t>
      </w:r>
      <w:proofErr w:type="spellEnd"/>
      <w:r w:rsidRPr="00761019">
        <w:rPr>
          <w:rStyle w:val="40"/>
          <w:sz w:val="24"/>
          <w:szCs w:val="24"/>
        </w:rPr>
        <w:t xml:space="preserve">; </w:t>
      </w:r>
      <w:proofErr w:type="spellStart"/>
      <w:r w:rsidRPr="00761019">
        <w:rPr>
          <w:rStyle w:val="40"/>
          <w:sz w:val="24"/>
          <w:szCs w:val="24"/>
        </w:rPr>
        <w:t>Paul</w:t>
      </w:r>
      <w:proofErr w:type="spellEnd"/>
      <w:r w:rsidRPr="00761019">
        <w:rPr>
          <w:rStyle w:val="40"/>
          <w:sz w:val="24"/>
          <w:szCs w:val="24"/>
        </w:rPr>
        <w:t xml:space="preserve"> W. </w:t>
      </w:r>
      <w:proofErr w:type="spellStart"/>
      <w:r w:rsidRPr="00761019">
        <w:rPr>
          <w:rStyle w:val="40"/>
          <w:sz w:val="24"/>
          <w:szCs w:val="24"/>
        </w:rPr>
        <w:t>Armstrong</w:t>
      </w:r>
      <w:proofErr w:type="spellEnd"/>
      <w:r w:rsidRPr="00761019">
        <w:rPr>
          <w:rStyle w:val="40"/>
          <w:sz w:val="24"/>
          <w:szCs w:val="24"/>
        </w:rPr>
        <w:t xml:space="preserve">, MD; </w:t>
      </w:r>
      <w:proofErr w:type="spellStart"/>
      <w:r w:rsidRPr="00761019">
        <w:rPr>
          <w:rStyle w:val="40"/>
          <w:sz w:val="24"/>
          <w:szCs w:val="24"/>
        </w:rPr>
        <w:t>Eugene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Braunwald</w:t>
      </w:r>
      <w:proofErr w:type="spellEnd"/>
      <w:r w:rsidRPr="00761019">
        <w:rPr>
          <w:rStyle w:val="40"/>
          <w:sz w:val="24"/>
          <w:szCs w:val="24"/>
        </w:rPr>
        <w:t xml:space="preserve">, MD; </w:t>
      </w:r>
      <w:proofErr w:type="spellStart"/>
      <w:r w:rsidRPr="00761019">
        <w:rPr>
          <w:rStyle w:val="40"/>
          <w:sz w:val="24"/>
          <w:szCs w:val="24"/>
        </w:rPr>
        <w:t>Robert</w:t>
      </w:r>
      <w:proofErr w:type="spellEnd"/>
      <w:r w:rsidRPr="00761019">
        <w:rPr>
          <w:rStyle w:val="40"/>
          <w:sz w:val="24"/>
          <w:szCs w:val="24"/>
        </w:rPr>
        <w:t xml:space="preserve"> M. </w:t>
      </w:r>
      <w:proofErr w:type="spellStart"/>
      <w:r w:rsidRPr="00761019">
        <w:rPr>
          <w:rStyle w:val="40"/>
          <w:sz w:val="24"/>
          <w:szCs w:val="24"/>
        </w:rPr>
        <w:t>Califf</w:t>
      </w:r>
      <w:proofErr w:type="spellEnd"/>
      <w:r w:rsidRPr="00761019">
        <w:rPr>
          <w:rStyle w:val="40"/>
          <w:sz w:val="24"/>
          <w:szCs w:val="24"/>
        </w:rPr>
        <w:t xml:space="preserve">, MD; L. </w:t>
      </w:r>
      <w:proofErr w:type="spellStart"/>
      <w:r w:rsidRPr="00761019">
        <w:rPr>
          <w:rStyle w:val="40"/>
          <w:sz w:val="24"/>
          <w:szCs w:val="24"/>
        </w:rPr>
        <w:t>Kristin</w:t>
      </w:r>
      <w:proofErr w:type="spellEnd"/>
      <w:r w:rsidRPr="00761019">
        <w:rPr>
          <w:rStyle w:val="40"/>
          <w:sz w:val="24"/>
          <w:szCs w:val="24"/>
        </w:rPr>
        <w:t xml:space="preserve"> </w:t>
      </w:r>
      <w:proofErr w:type="spellStart"/>
      <w:r w:rsidRPr="00761019">
        <w:rPr>
          <w:rStyle w:val="40"/>
          <w:sz w:val="24"/>
          <w:szCs w:val="24"/>
        </w:rPr>
        <w:t>Newby</w:t>
      </w:r>
      <w:proofErr w:type="spellEnd"/>
      <w:r w:rsidRPr="00761019">
        <w:rPr>
          <w:rStyle w:val="40"/>
          <w:sz w:val="24"/>
          <w:szCs w:val="24"/>
        </w:rPr>
        <w:t>, MD, MHS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0"/>
          <w:bCs/>
          <w:iCs/>
          <w:sz w:val="24"/>
          <w:szCs w:val="24"/>
        </w:rPr>
        <w:t>Предпосылки</w:t>
      </w:r>
      <w:r>
        <w:rPr>
          <w:rStyle w:val="51"/>
          <w:sz w:val="24"/>
          <w:szCs w:val="24"/>
        </w:rPr>
        <w:t xml:space="preserve">. </w:t>
      </w:r>
      <w:r w:rsidRPr="00761019">
        <w:rPr>
          <w:rStyle w:val="51"/>
          <w:sz w:val="24"/>
          <w:szCs w:val="24"/>
        </w:rPr>
        <w:t xml:space="preserve">В исследовании раннего ингибирования гликопротеина </w:t>
      </w:r>
      <w:proofErr w:type="spellStart"/>
      <w:r w:rsidRPr="00761019">
        <w:rPr>
          <w:rStyle w:val="51"/>
          <w:sz w:val="24"/>
          <w:szCs w:val="24"/>
        </w:rPr>
        <w:t>IIb</w:t>
      </w:r>
      <w:proofErr w:type="spellEnd"/>
      <w:r w:rsidRPr="00761019">
        <w:rPr>
          <w:rStyle w:val="51"/>
          <w:sz w:val="24"/>
          <w:szCs w:val="24"/>
        </w:rPr>
        <w:t>/</w:t>
      </w:r>
      <w:proofErr w:type="spellStart"/>
      <w:r w:rsidRPr="00761019">
        <w:rPr>
          <w:rStyle w:val="51"/>
          <w:sz w:val="24"/>
          <w:szCs w:val="24"/>
        </w:rPr>
        <w:t>IIIa</w:t>
      </w:r>
      <w:proofErr w:type="spellEnd"/>
      <w:r w:rsidRPr="00761019">
        <w:rPr>
          <w:rStyle w:val="51"/>
          <w:sz w:val="24"/>
          <w:szCs w:val="24"/>
        </w:rPr>
        <w:t xml:space="preserve"> у пациентов с острым коронарным синдромом без подъема сегмента ST (EARLY ACS) было показано, что рутинное применение </w:t>
      </w:r>
      <w:proofErr w:type="spellStart"/>
      <w:r w:rsidRPr="00761019">
        <w:rPr>
          <w:rStyle w:val="51"/>
          <w:sz w:val="24"/>
          <w:szCs w:val="24"/>
        </w:rPr>
        <w:t>эптифибатида</w:t>
      </w:r>
      <w:proofErr w:type="spellEnd"/>
      <w:r w:rsidRPr="00761019">
        <w:rPr>
          <w:rStyle w:val="51"/>
          <w:sz w:val="24"/>
          <w:szCs w:val="24"/>
        </w:rPr>
        <w:t xml:space="preserve"> перед ангиографией не имеет превосходства перед отсроченным избирательным использованием, но чревато большим риском кровотечений. В настоящем анализе изучены эффективность и безопасность раннего применения </w:t>
      </w:r>
      <w:proofErr w:type="spellStart"/>
      <w:r w:rsidRPr="00761019">
        <w:rPr>
          <w:rStyle w:val="51"/>
          <w:sz w:val="24"/>
          <w:szCs w:val="24"/>
        </w:rPr>
        <w:t>эптифибатида</w:t>
      </w:r>
      <w:proofErr w:type="spellEnd"/>
      <w:r w:rsidRPr="00761019">
        <w:rPr>
          <w:rStyle w:val="51"/>
          <w:sz w:val="24"/>
          <w:szCs w:val="24"/>
        </w:rPr>
        <w:t xml:space="preserve"> в условиях одновременного опережающего использования </w:t>
      </w:r>
      <w:proofErr w:type="spellStart"/>
      <w:r w:rsidRPr="00761019">
        <w:rPr>
          <w:rStyle w:val="51"/>
          <w:sz w:val="24"/>
          <w:szCs w:val="24"/>
        </w:rPr>
        <w:t>клопидогреля</w:t>
      </w:r>
      <w:proofErr w:type="spellEnd"/>
      <w:r w:rsidRPr="00761019">
        <w:rPr>
          <w:rStyle w:val="51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Fonts w:ascii="Times New Roman" w:hAnsi="Times New Roman"/>
          <w:b/>
          <w:i/>
          <w:sz w:val="24"/>
          <w:szCs w:val="24"/>
        </w:rPr>
        <w:t>Результаты и методы</w:t>
      </w:r>
      <w:r w:rsidRPr="00761019">
        <w:rPr>
          <w:rFonts w:ascii="Times New Roman" w:hAnsi="Times New Roman"/>
          <w:sz w:val="24"/>
          <w:szCs w:val="24"/>
        </w:rPr>
        <w:t xml:space="preserve">. В исследовании EARLY-ACS применение и время назначения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определялись лечащими врачами, однако рандомизация в группу раннего использования </w:t>
      </w:r>
      <w:proofErr w:type="spellStart"/>
      <w:r w:rsidRPr="00761019">
        <w:rPr>
          <w:rFonts w:ascii="Times New Roman" w:hAnsi="Times New Roman"/>
          <w:sz w:val="24"/>
          <w:szCs w:val="24"/>
        </w:rPr>
        <w:t>эптифибатида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в сравнении с плацебо была стратифицирована по намерению использовать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клопидогрель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в опережающем режиме.</w:t>
      </w:r>
      <w:r w:rsidRPr="00761019">
        <w:rPr>
          <w:rStyle w:val="51"/>
          <w:sz w:val="24"/>
          <w:szCs w:val="24"/>
        </w:rPr>
        <w:t xml:space="preserve"> Среди 9166 пациентов с острым коронарным синдромом без подъема сегмента ST, которым проводилась </w:t>
      </w:r>
      <w:proofErr w:type="spellStart"/>
      <w:r w:rsidRPr="00761019">
        <w:rPr>
          <w:rStyle w:val="51"/>
          <w:sz w:val="24"/>
          <w:szCs w:val="24"/>
        </w:rPr>
        <w:t>коронароангиография</w:t>
      </w:r>
      <w:proofErr w:type="spellEnd"/>
      <w:r w:rsidRPr="00761019">
        <w:rPr>
          <w:rStyle w:val="51"/>
          <w:sz w:val="24"/>
          <w:szCs w:val="24"/>
        </w:rPr>
        <w:t xml:space="preserve">, намерение </w:t>
      </w:r>
      <w:proofErr w:type="gramStart"/>
      <w:r w:rsidRPr="00761019">
        <w:rPr>
          <w:rStyle w:val="51"/>
          <w:sz w:val="24"/>
          <w:szCs w:val="24"/>
        </w:rPr>
        <w:t xml:space="preserve">применить </w:t>
      </w:r>
      <w:proofErr w:type="spellStart"/>
      <w:r w:rsidRPr="00761019">
        <w:rPr>
          <w:rStyle w:val="51"/>
          <w:sz w:val="24"/>
          <w:szCs w:val="24"/>
        </w:rPr>
        <w:t>клопидогрель</w:t>
      </w:r>
      <w:proofErr w:type="spellEnd"/>
      <w:r w:rsidRPr="00761019">
        <w:rPr>
          <w:rStyle w:val="51"/>
          <w:sz w:val="24"/>
          <w:szCs w:val="24"/>
        </w:rPr>
        <w:t xml:space="preserve"> в опережающем режиме было заявлено</w:t>
      </w:r>
      <w:proofErr w:type="gramEnd"/>
      <w:r w:rsidRPr="00761019">
        <w:rPr>
          <w:rStyle w:val="51"/>
          <w:sz w:val="24"/>
          <w:szCs w:val="24"/>
        </w:rPr>
        <w:t xml:space="preserve"> у 6895 (75%), при этом получали </w:t>
      </w:r>
      <w:proofErr w:type="spellStart"/>
      <w:r w:rsidRPr="00761019">
        <w:rPr>
          <w:rStyle w:val="51"/>
          <w:sz w:val="24"/>
          <w:szCs w:val="24"/>
        </w:rPr>
        <w:t>клопидогрель</w:t>
      </w:r>
      <w:proofErr w:type="spellEnd"/>
      <w:r w:rsidRPr="00761019">
        <w:rPr>
          <w:rStyle w:val="51"/>
          <w:sz w:val="24"/>
          <w:szCs w:val="24"/>
        </w:rPr>
        <w:t xml:space="preserve"> в опережающем режиме 7068 пациентов (77%). После внесения поправки на многофакторный характер анализа было показано, что намерение применять </w:t>
      </w:r>
      <w:proofErr w:type="spellStart"/>
      <w:r w:rsidRPr="00761019">
        <w:rPr>
          <w:rStyle w:val="51"/>
          <w:sz w:val="24"/>
          <w:szCs w:val="24"/>
        </w:rPr>
        <w:t>клопидогрель</w:t>
      </w:r>
      <w:proofErr w:type="spellEnd"/>
      <w:r w:rsidRPr="00761019">
        <w:rPr>
          <w:rStyle w:val="51"/>
          <w:sz w:val="24"/>
          <w:szCs w:val="24"/>
        </w:rPr>
        <w:t xml:space="preserve"> в опережающем режиме не оказывало дифференцированного влияния на эффект раннего назначения </w:t>
      </w:r>
      <w:proofErr w:type="spellStart"/>
      <w:r w:rsidRPr="00761019">
        <w:rPr>
          <w:rStyle w:val="51"/>
          <w:sz w:val="24"/>
          <w:szCs w:val="24"/>
        </w:rPr>
        <w:t>эптифибатида</w:t>
      </w:r>
      <w:proofErr w:type="spellEnd"/>
      <w:r w:rsidRPr="00761019">
        <w:rPr>
          <w:rStyle w:val="51"/>
          <w:sz w:val="24"/>
          <w:szCs w:val="24"/>
        </w:rPr>
        <w:t xml:space="preserve"> в отношении главного анализируемого показателя - смерти/инфаркта миокарда/рецидива ишемии, требующего экстренной </w:t>
      </w:r>
      <w:proofErr w:type="spellStart"/>
      <w:r w:rsidRPr="00761019">
        <w:rPr>
          <w:rStyle w:val="51"/>
          <w:sz w:val="24"/>
          <w:szCs w:val="24"/>
        </w:rPr>
        <w:t>реваскуляризации</w:t>
      </w:r>
      <w:proofErr w:type="spellEnd"/>
      <w:r w:rsidRPr="00761019">
        <w:rPr>
          <w:rStyle w:val="51"/>
          <w:sz w:val="24"/>
          <w:szCs w:val="24"/>
        </w:rPr>
        <w:t xml:space="preserve">/экстренного </w:t>
      </w:r>
      <w:proofErr w:type="spellStart"/>
      <w:r w:rsidRPr="00761019">
        <w:rPr>
          <w:rStyle w:val="51"/>
          <w:sz w:val="24"/>
          <w:szCs w:val="24"/>
        </w:rPr>
        <w:t>противотромботического</w:t>
      </w:r>
      <w:proofErr w:type="spellEnd"/>
      <w:r w:rsidRPr="00761019">
        <w:rPr>
          <w:rStyle w:val="51"/>
          <w:sz w:val="24"/>
          <w:szCs w:val="24"/>
        </w:rPr>
        <w:t xml:space="preserve"> лечения в течение 96 часов (</w:t>
      </w:r>
      <w:proofErr w:type="gramStart"/>
      <w:r w:rsidRPr="00761019">
        <w:rPr>
          <w:rStyle w:val="51"/>
          <w:sz w:val="24"/>
          <w:szCs w:val="24"/>
        </w:rPr>
        <w:t>Р</w:t>
      </w:r>
      <w:proofErr w:type="gramEnd"/>
      <w:r w:rsidRPr="00761019">
        <w:rPr>
          <w:rStyle w:val="51"/>
          <w:sz w:val="24"/>
          <w:szCs w:val="24"/>
        </w:rPr>
        <w:t xml:space="preserve"> для взаимодействия = 0,988). </w:t>
      </w:r>
      <w:proofErr w:type="gramStart"/>
      <w:r w:rsidRPr="00761019">
        <w:rPr>
          <w:rStyle w:val="51"/>
          <w:sz w:val="24"/>
          <w:szCs w:val="24"/>
        </w:rPr>
        <w:t xml:space="preserve">Раннее применение </w:t>
      </w:r>
      <w:proofErr w:type="spellStart"/>
      <w:r w:rsidRPr="00761019">
        <w:rPr>
          <w:rStyle w:val="51"/>
          <w:sz w:val="24"/>
          <w:szCs w:val="24"/>
        </w:rPr>
        <w:t>эптифибатида</w:t>
      </w:r>
      <w:proofErr w:type="spellEnd"/>
      <w:r w:rsidRPr="00761019">
        <w:rPr>
          <w:rStyle w:val="51"/>
          <w:sz w:val="24"/>
          <w:szCs w:val="24"/>
        </w:rPr>
        <w:t xml:space="preserve"> обеспечивало снижение риска смерти/инфаркта миокарда в течение 30 дней среди пациентов с намерением опережающего применения </w:t>
      </w:r>
      <w:proofErr w:type="spellStart"/>
      <w:r w:rsidRPr="00761019">
        <w:rPr>
          <w:rStyle w:val="51"/>
          <w:sz w:val="24"/>
          <w:szCs w:val="24"/>
        </w:rPr>
        <w:t>клопидогреля</w:t>
      </w:r>
      <w:proofErr w:type="spellEnd"/>
      <w:r w:rsidRPr="00761019">
        <w:rPr>
          <w:rStyle w:val="51"/>
          <w:sz w:val="24"/>
          <w:szCs w:val="24"/>
        </w:rPr>
        <w:t xml:space="preserve"> (скорректированное отношение шансов 0,85; 95% доверительный интервал 0,73-0,99)</w:t>
      </w:r>
      <w:r>
        <w:rPr>
          <w:rStyle w:val="51"/>
          <w:sz w:val="24"/>
          <w:szCs w:val="24"/>
        </w:rPr>
        <w:t>,</w:t>
      </w:r>
      <w:r w:rsidRPr="00761019">
        <w:rPr>
          <w:rStyle w:val="51"/>
          <w:sz w:val="24"/>
          <w:szCs w:val="24"/>
        </w:rPr>
        <w:t xml:space="preserve"> но не среди тех пациентов, у которых не было намерения применить </w:t>
      </w:r>
      <w:proofErr w:type="spellStart"/>
      <w:r w:rsidRPr="00761019">
        <w:rPr>
          <w:rStyle w:val="51"/>
          <w:sz w:val="24"/>
          <w:szCs w:val="24"/>
        </w:rPr>
        <w:t>клопидогрель</w:t>
      </w:r>
      <w:proofErr w:type="spellEnd"/>
      <w:r w:rsidRPr="00761019">
        <w:rPr>
          <w:rStyle w:val="51"/>
          <w:sz w:val="24"/>
          <w:szCs w:val="24"/>
        </w:rPr>
        <w:t xml:space="preserve"> в опережающем режиме (скорректированное отношение шансов 1,02; 95% доверительный интервал 0,80-1,30).</w:t>
      </w:r>
      <w:proofErr w:type="gramEnd"/>
      <w:r w:rsidRPr="00761019">
        <w:rPr>
          <w:rStyle w:val="51"/>
          <w:sz w:val="24"/>
          <w:szCs w:val="24"/>
        </w:rPr>
        <w:t xml:space="preserve"> Однако применение </w:t>
      </w:r>
      <w:proofErr w:type="spellStart"/>
      <w:r w:rsidRPr="00761019">
        <w:rPr>
          <w:rStyle w:val="51"/>
          <w:sz w:val="24"/>
          <w:szCs w:val="24"/>
        </w:rPr>
        <w:t>клопидогреля</w:t>
      </w:r>
      <w:proofErr w:type="spellEnd"/>
      <w:r w:rsidRPr="00761019">
        <w:rPr>
          <w:rStyle w:val="51"/>
          <w:sz w:val="24"/>
          <w:szCs w:val="24"/>
        </w:rPr>
        <w:t xml:space="preserve"> не было значимым при учете взаимодействия с </w:t>
      </w:r>
      <w:proofErr w:type="spellStart"/>
      <w:r w:rsidRPr="00761019">
        <w:rPr>
          <w:rStyle w:val="51"/>
          <w:sz w:val="24"/>
          <w:szCs w:val="24"/>
        </w:rPr>
        <w:t>рандомизированным</w:t>
      </w:r>
      <w:proofErr w:type="spellEnd"/>
      <w:r w:rsidRPr="00761019">
        <w:rPr>
          <w:rStyle w:val="51"/>
          <w:sz w:val="24"/>
          <w:szCs w:val="24"/>
        </w:rPr>
        <w:t xml:space="preserve"> лечением (</w:t>
      </w:r>
      <w:proofErr w:type="gramStart"/>
      <w:r w:rsidRPr="00761019">
        <w:rPr>
          <w:rStyle w:val="51"/>
          <w:sz w:val="24"/>
          <w:szCs w:val="24"/>
        </w:rPr>
        <w:t>Р</w:t>
      </w:r>
      <w:proofErr w:type="gramEnd"/>
      <w:r w:rsidRPr="00761019">
        <w:rPr>
          <w:rStyle w:val="51"/>
          <w:sz w:val="24"/>
          <w:szCs w:val="24"/>
        </w:rPr>
        <w:t xml:space="preserve">=0,23). Риск серьезных кровотечений при </w:t>
      </w:r>
      <w:proofErr w:type="spellStart"/>
      <w:r w:rsidRPr="00761019">
        <w:rPr>
          <w:rStyle w:val="51"/>
          <w:sz w:val="24"/>
          <w:szCs w:val="24"/>
        </w:rPr>
        <w:t>тромболизисе</w:t>
      </w:r>
      <w:proofErr w:type="spellEnd"/>
      <w:r w:rsidRPr="00761019">
        <w:rPr>
          <w:rStyle w:val="51"/>
          <w:sz w:val="24"/>
          <w:szCs w:val="24"/>
        </w:rPr>
        <w:t xml:space="preserve"> в связи с инфарктом миокарда при раннем применении </w:t>
      </w:r>
      <w:proofErr w:type="spellStart"/>
      <w:r w:rsidRPr="00761019">
        <w:rPr>
          <w:rStyle w:val="51"/>
          <w:sz w:val="24"/>
          <w:szCs w:val="24"/>
        </w:rPr>
        <w:t>эптифибатида</w:t>
      </w:r>
      <w:proofErr w:type="spellEnd"/>
      <w:r w:rsidRPr="00761019">
        <w:rPr>
          <w:rStyle w:val="51"/>
          <w:sz w:val="24"/>
          <w:szCs w:val="24"/>
        </w:rPr>
        <w:t xml:space="preserve"> возрастал в условиях </w:t>
      </w:r>
      <w:r w:rsidRPr="00761019">
        <w:rPr>
          <w:rStyle w:val="51"/>
          <w:sz w:val="24"/>
          <w:szCs w:val="24"/>
        </w:rPr>
        <w:lastRenderedPageBreak/>
        <w:t xml:space="preserve">опережающего использования </w:t>
      </w:r>
      <w:proofErr w:type="spellStart"/>
      <w:r w:rsidRPr="00761019">
        <w:rPr>
          <w:rStyle w:val="51"/>
          <w:sz w:val="24"/>
          <w:szCs w:val="24"/>
        </w:rPr>
        <w:t>клопидогреля</w:t>
      </w:r>
      <w:proofErr w:type="spellEnd"/>
      <w:r w:rsidRPr="00761019">
        <w:rPr>
          <w:rStyle w:val="51"/>
          <w:sz w:val="24"/>
          <w:szCs w:val="24"/>
        </w:rPr>
        <w:t xml:space="preserve">. Результаты были сходными в стратах с фактическим применением </w:t>
      </w:r>
      <w:proofErr w:type="spellStart"/>
      <w:r w:rsidRPr="00761019">
        <w:rPr>
          <w:rStyle w:val="51"/>
          <w:sz w:val="24"/>
          <w:szCs w:val="24"/>
        </w:rPr>
        <w:t>клопидогреля</w:t>
      </w:r>
      <w:proofErr w:type="spellEnd"/>
      <w:r w:rsidRPr="00761019">
        <w:rPr>
          <w:rStyle w:val="51"/>
          <w:sz w:val="24"/>
          <w:szCs w:val="24"/>
        </w:rPr>
        <w:t>.</w:t>
      </w:r>
    </w:p>
    <w:p w:rsidR="008F1F16" w:rsidRPr="00761019" w:rsidRDefault="008F1F16" w:rsidP="00FA1C57">
      <w:pPr>
        <w:rPr>
          <w:rStyle w:val="51"/>
          <w:sz w:val="24"/>
          <w:szCs w:val="24"/>
        </w:rPr>
      </w:pPr>
      <w:r w:rsidRPr="00761019">
        <w:rPr>
          <w:rFonts w:ascii="Times New Roman" w:hAnsi="Times New Roman"/>
          <w:b/>
          <w:i/>
          <w:sz w:val="24"/>
          <w:szCs w:val="24"/>
        </w:rPr>
        <w:t>Выводы</w:t>
      </w:r>
      <w:r w:rsidRPr="00761019">
        <w:rPr>
          <w:rFonts w:ascii="Times New Roman" w:hAnsi="Times New Roman"/>
          <w:sz w:val="24"/>
          <w:szCs w:val="24"/>
        </w:rPr>
        <w:t xml:space="preserve">. Рутинное раннее применение </w:t>
      </w:r>
      <w:proofErr w:type="spellStart"/>
      <w:r w:rsidRPr="00761019">
        <w:rPr>
          <w:rFonts w:ascii="Times New Roman" w:hAnsi="Times New Roman"/>
          <w:sz w:val="24"/>
          <w:szCs w:val="24"/>
        </w:rPr>
        <w:t>эптифибатида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(в сравнении с отсроченным избирательным применением) может ассоциироваться со снижением риска ишемии в течение 30 дней у пациентов с острым коронарным синдромом без </w:t>
      </w:r>
      <w:proofErr w:type="spellStart"/>
      <w:r w:rsidRPr="00761019">
        <w:rPr>
          <w:rFonts w:ascii="Times New Roman" w:hAnsi="Times New Roman"/>
          <w:sz w:val="24"/>
          <w:szCs w:val="24"/>
        </w:rPr>
        <w:t>элевации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сегмента ST, получавших также терапию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клопидогрелем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до проведения ангиографии.</w:t>
      </w:r>
      <w:r w:rsidRPr="00761019">
        <w:rPr>
          <w:rStyle w:val="51"/>
          <w:sz w:val="24"/>
          <w:szCs w:val="24"/>
        </w:rPr>
        <w:t xml:space="preserve"> Соотношение пользы и риска интенсивного ингибирования тромбоцитов в сочетании с ранним применением </w:t>
      </w:r>
      <w:proofErr w:type="spellStart"/>
      <w:r w:rsidRPr="00761019">
        <w:rPr>
          <w:rStyle w:val="51"/>
          <w:sz w:val="24"/>
          <w:szCs w:val="24"/>
        </w:rPr>
        <w:t>антитромбоцитарных</w:t>
      </w:r>
      <w:proofErr w:type="spellEnd"/>
      <w:r w:rsidRPr="00761019">
        <w:rPr>
          <w:rStyle w:val="51"/>
          <w:sz w:val="24"/>
          <w:szCs w:val="24"/>
        </w:rPr>
        <w:t xml:space="preserve"> препаратов требует дальнейшей оценки в </w:t>
      </w:r>
      <w:proofErr w:type="spellStart"/>
      <w:r w:rsidRPr="00761019">
        <w:rPr>
          <w:rStyle w:val="51"/>
          <w:sz w:val="24"/>
          <w:szCs w:val="24"/>
        </w:rPr>
        <w:t>проспективных</w:t>
      </w:r>
      <w:proofErr w:type="spellEnd"/>
      <w:r w:rsidRPr="00761019">
        <w:rPr>
          <w:rStyle w:val="51"/>
          <w:sz w:val="24"/>
          <w:szCs w:val="24"/>
        </w:rPr>
        <w:t xml:space="preserve"> </w:t>
      </w:r>
      <w:proofErr w:type="spellStart"/>
      <w:r w:rsidRPr="00761019">
        <w:rPr>
          <w:rStyle w:val="51"/>
          <w:sz w:val="24"/>
          <w:szCs w:val="24"/>
        </w:rPr>
        <w:t>рандомизированных</w:t>
      </w:r>
      <w:proofErr w:type="spellEnd"/>
      <w:r w:rsidRPr="00761019">
        <w:rPr>
          <w:rStyle w:val="51"/>
          <w:sz w:val="24"/>
          <w:szCs w:val="24"/>
        </w:rPr>
        <w:t xml:space="preserve"> исследованиях.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0"/>
          <w:bCs/>
          <w:iCs/>
          <w:sz w:val="24"/>
          <w:szCs w:val="24"/>
        </w:rPr>
        <w:t>Регистрация на сайте «Клинические исследования»</w:t>
      </w:r>
      <w:r w:rsidRPr="00761019">
        <w:rPr>
          <w:rStyle w:val="51"/>
          <w:sz w:val="24"/>
          <w:szCs w:val="24"/>
        </w:rPr>
        <w:t>—</w:t>
      </w:r>
      <w:r w:rsidRPr="00761019">
        <w:rPr>
          <w:rStyle w:val="Hyperlink"/>
          <w:rFonts w:ascii="Times New Roman" w:hAnsi="Times New Roman"/>
          <w:sz w:val="24"/>
          <w:szCs w:val="24"/>
        </w:rPr>
        <w:t>http://www.clinicaltrials.gov</w:t>
      </w:r>
      <w:r w:rsidRPr="00761019">
        <w:rPr>
          <w:rStyle w:val="51"/>
          <w:sz w:val="24"/>
          <w:szCs w:val="24"/>
        </w:rPr>
        <w:t>. Уникальный идентификатор: NCT00089895.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60"/>
          <w:bCs/>
          <w:iCs/>
          <w:sz w:val="24"/>
          <w:szCs w:val="24"/>
        </w:rPr>
        <w:t>(</w:t>
      </w:r>
      <w:proofErr w:type="spellStart"/>
      <w:r w:rsidRPr="00761019">
        <w:rPr>
          <w:rStyle w:val="60"/>
          <w:bCs/>
          <w:iCs/>
          <w:sz w:val="24"/>
          <w:szCs w:val="24"/>
        </w:rPr>
        <w:t>Circulation</w:t>
      </w:r>
      <w:proofErr w:type="spellEnd"/>
      <w:r w:rsidRPr="00761019">
        <w:rPr>
          <w:rStyle w:val="60"/>
          <w:bCs/>
          <w:iCs/>
          <w:sz w:val="24"/>
          <w:szCs w:val="24"/>
        </w:rPr>
        <w:t>.</w:t>
      </w:r>
      <w:r w:rsidRPr="00761019">
        <w:rPr>
          <w:rStyle w:val="61"/>
          <w:bCs/>
          <w:sz w:val="24"/>
          <w:szCs w:val="24"/>
        </w:rPr>
        <w:t xml:space="preserve"> 2011;123:722-730.)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10"/>
          <w:bCs/>
          <w:sz w:val="24"/>
          <w:szCs w:val="24"/>
        </w:rPr>
        <w:t xml:space="preserve">Ключевые термины: </w:t>
      </w:r>
      <w:r w:rsidRPr="00761019">
        <w:rPr>
          <w:rStyle w:val="51"/>
          <w:sz w:val="24"/>
          <w:szCs w:val="24"/>
        </w:rPr>
        <w:t xml:space="preserve">тромбоциты, антикоагулянты, </w:t>
      </w:r>
      <w:proofErr w:type="spellStart"/>
      <w:r w:rsidRPr="00761019">
        <w:rPr>
          <w:rStyle w:val="51"/>
          <w:sz w:val="24"/>
          <w:szCs w:val="24"/>
        </w:rPr>
        <w:t>эптифибатид</w:t>
      </w:r>
      <w:proofErr w:type="spellEnd"/>
      <w:r w:rsidRPr="00761019">
        <w:rPr>
          <w:rStyle w:val="51"/>
          <w:sz w:val="24"/>
          <w:szCs w:val="24"/>
        </w:rPr>
        <w:t xml:space="preserve">, </w:t>
      </w:r>
      <w:proofErr w:type="spellStart"/>
      <w:r w:rsidRPr="00761019">
        <w:rPr>
          <w:rStyle w:val="51"/>
          <w:sz w:val="24"/>
          <w:szCs w:val="24"/>
        </w:rPr>
        <w:t>клопидогрель</w:t>
      </w:r>
      <w:proofErr w:type="spellEnd"/>
      <w:r w:rsidRPr="00761019">
        <w:rPr>
          <w:rStyle w:val="51"/>
          <w:sz w:val="24"/>
          <w:szCs w:val="24"/>
        </w:rPr>
        <w:t>, острый коронарный синдром.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proofErr w:type="gramStart"/>
      <w:r w:rsidRPr="00761019">
        <w:rPr>
          <w:rStyle w:val="80"/>
          <w:sz w:val="24"/>
          <w:szCs w:val="24"/>
        </w:rPr>
        <w:t>Получена 31 марта 2010 года; принята в печать 17 декабря 2010 года.</w:t>
      </w:r>
      <w:proofErr w:type="gramEnd"/>
    </w:p>
    <w:p w:rsidR="008F1F16" w:rsidRDefault="008F1F16" w:rsidP="00FA1C57">
      <w:pPr>
        <w:rPr>
          <w:rStyle w:val="80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Институт </w:t>
      </w:r>
      <w:proofErr w:type="gramStart"/>
      <w:r w:rsidRPr="00761019">
        <w:rPr>
          <w:rStyle w:val="80"/>
          <w:sz w:val="24"/>
          <w:szCs w:val="24"/>
        </w:rPr>
        <w:t>клинических</w:t>
      </w:r>
      <w:proofErr w:type="gramEnd"/>
      <w:r w:rsidRPr="00761019">
        <w:rPr>
          <w:rStyle w:val="80"/>
          <w:sz w:val="24"/>
          <w:szCs w:val="24"/>
        </w:rPr>
        <w:t xml:space="preserve"> исследования им. Дьюка (T.Y.W., J.A.W., P.T., R.A.H., L.K.N.), </w:t>
      </w:r>
      <w:proofErr w:type="spellStart"/>
      <w:r w:rsidRPr="00761019">
        <w:rPr>
          <w:rStyle w:val="80"/>
          <w:sz w:val="24"/>
          <w:szCs w:val="24"/>
        </w:rPr>
        <w:t>Дарем</w:t>
      </w:r>
      <w:proofErr w:type="spellEnd"/>
      <w:r w:rsidRPr="00761019">
        <w:rPr>
          <w:rStyle w:val="80"/>
          <w:sz w:val="24"/>
          <w:szCs w:val="24"/>
        </w:rPr>
        <w:t xml:space="preserve">, Северная Каролина; исследовательская группа TIMI (R.P.G., E.B.), Больница </w:t>
      </w:r>
      <w:proofErr w:type="spellStart"/>
      <w:r w:rsidRPr="00761019">
        <w:rPr>
          <w:rStyle w:val="80"/>
          <w:sz w:val="24"/>
          <w:szCs w:val="24"/>
        </w:rPr>
        <w:t>Брайам</w:t>
      </w:r>
      <w:proofErr w:type="spellEnd"/>
      <w:r w:rsidRPr="00761019">
        <w:rPr>
          <w:rStyle w:val="80"/>
          <w:sz w:val="24"/>
          <w:szCs w:val="24"/>
        </w:rPr>
        <w:t xml:space="preserve"> энд </w:t>
      </w:r>
      <w:proofErr w:type="spellStart"/>
      <w:r w:rsidRPr="00761019">
        <w:rPr>
          <w:rStyle w:val="80"/>
          <w:sz w:val="24"/>
          <w:szCs w:val="24"/>
        </w:rPr>
        <w:t>Уимин</w:t>
      </w:r>
      <w:proofErr w:type="spellEnd"/>
      <w:r w:rsidRPr="00761019">
        <w:rPr>
          <w:rStyle w:val="80"/>
          <w:sz w:val="24"/>
          <w:szCs w:val="24"/>
        </w:rPr>
        <w:t xml:space="preserve">, Бостон, Массачусетс; </w:t>
      </w:r>
      <w:proofErr w:type="spellStart"/>
      <w:r w:rsidRPr="00761019">
        <w:rPr>
          <w:rStyle w:val="80"/>
          <w:sz w:val="24"/>
          <w:szCs w:val="24"/>
        </w:rPr>
        <w:t>Herzzentrum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Ludwigshafen</w:t>
      </w:r>
      <w:proofErr w:type="spellEnd"/>
      <w:r w:rsidRPr="00761019">
        <w:rPr>
          <w:rStyle w:val="80"/>
          <w:sz w:val="24"/>
          <w:szCs w:val="24"/>
        </w:rPr>
        <w:t xml:space="preserve"> (U.Z.), </w:t>
      </w:r>
      <w:proofErr w:type="spellStart"/>
      <w:r w:rsidRPr="00761019">
        <w:rPr>
          <w:rStyle w:val="80"/>
          <w:sz w:val="24"/>
          <w:szCs w:val="24"/>
        </w:rPr>
        <w:t>Людвигсхафен</w:t>
      </w:r>
      <w:proofErr w:type="spellEnd"/>
      <w:r w:rsidRPr="00761019">
        <w:rPr>
          <w:rStyle w:val="80"/>
          <w:sz w:val="24"/>
          <w:szCs w:val="24"/>
        </w:rPr>
        <w:t xml:space="preserve">, Германия; </w:t>
      </w:r>
      <w:proofErr w:type="spellStart"/>
      <w:r w:rsidRPr="00761019">
        <w:rPr>
          <w:rStyle w:val="80"/>
          <w:sz w:val="24"/>
          <w:szCs w:val="24"/>
        </w:rPr>
        <w:t>Institut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de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Cardiologie</w:t>
      </w:r>
      <w:proofErr w:type="spellEnd"/>
      <w:r w:rsidRPr="00761019">
        <w:rPr>
          <w:rStyle w:val="80"/>
          <w:sz w:val="24"/>
          <w:szCs w:val="24"/>
        </w:rPr>
        <w:t xml:space="preserve"> (G.M.), больница Питье-</w:t>
      </w:r>
      <w:proofErr w:type="spellStart"/>
      <w:r w:rsidRPr="00761019">
        <w:rPr>
          <w:rStyle w:val="80"/>
          <w:sz w:val="24"/>
          <w:szCs w:val="24"/>
        </w:rPr>
        <w:t>Сальпетриер</w:t>
      </w:r>
      <w:proofErr w:type="spellEnd"/>
      <w:r w:rsidRPr="00761019">
        <w:rPr>
          <w:rStyle w:val="80"/>
          <w:sz w:val="24"/>
          <w:szCs w:val="24"/>
        </w:rPr>
        <w:t xml:space="preserve">, Париж, Франция; больница университета Упсала (S.K.J.), Упсала, Швеция; университетская клиника, координационный центр </w:t>
      </w:r>
      <w:proofErr w:type="spellStart"/>
      <w:r w:rsidRPr="00761019">
        <w:rPr>
          <w:rStyle w:val="80"/>
          <w:sz w:val="24"/>
          <w:szCs w:val="24"/>
        </w:rPr>
        <w:t>Гатуисберга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Левена</w:t>
      </w:r>
      <w:proofErr w:type="spellEnd"/>
      <w:r w:rsidRPr="00761019">
        <w:rPr>
          <w:rStyle w:val="80"/>
          <w:sz w:val="24"/>
          <w:szCs w:val="24"/>
        </w:rPr>
        <w:t xml:space="preserve"> (F.V.W.), </w:t>
      </w:r>
      <w:proofErr w:type="spellStart"/>
      <w:r w:rsidRPr="00761019">
        <w:rPr>
          <w:rStyle w:val="80"/>
          <w:sz w:val="24"/>
          <w:szCs w:val="24"/>
        </w:rPr>
        <w:t>Левен</w:t>
      </w:r>
      <w:proofErr w:type="spellEnd"/>
      <w:r w:rsidRPr="00761019">
        <w:rPr>
          <w:rStyle w:val="80"/>
          <w:sz w:val="24"/>
          <w:szCs w:val="24"/>
        </w:rPr>
        <w:t xml:space="preserve">, Бельгия; </w:t>
      </w:r>
      <w:r w:rsidRPr="0095512B">
        <w:rPr>
          <w:rStyle w:val="80"/>
          <w:sz w:val="24"/>
          <w:szCs w:val="24"/>
        </w:rPr>
        <w:t xml:space="preserve">университет штата Альберта (P.W.A.), </w:t>
      </w:r>
      <w:proofErr w:type="spellStart"/>
      <w:r w:rsidRPr="0095512B">
        <w:rPr>
          <w:rStyle w:val="80"/>
          <w:sz w:val="24"/>
          <w:szCs w:val="24"/>
        </w:rPr>
        <w:t>Эдмонтон</w:t>
      </w:r>
      <w:proofErr w:type="spellEnd"/>
      <w:r w:rsidRPr="0095512B">
        <w:rPr>
          <w:rStyle w:val="80"/>
          <w:sz w:val="24"/>
          <w:szCs w:val="24"/>
        </w:rPr>
        <w:t>, Альберта, Канада</w:t>
      </w:r>
      <w:r w:rsidRPr="00761019">
        <w:rPr>
          <w:rStyle w:val="80"/>
          <w:sz w:val="24"/>
          <w:szCs w:val="24"/>
        </w:rPr>
        <w:t xml:space="preserve">; и Институт трансляционной медицины им. Дьюка (R.M.C.), </w:t>
      </w:r>
      <w:proofErr w:type="spellStart"/>
      <w:r w:rsidRPr="00761019">
        <w:rPr>
          <w:rStyle w:val="80"/>
          <w:sz w:val="24"/>
          <w:szCs w:val="24"/>
        </w:rPr>
        <w:t>Дарем</w:t>
      </w:r>
      <w:proofErr w:type="spellEnd"/>
      <w:r w:rsidRPr="00761019">
        <w:rPr>
          <w:rStyle w:val="80"/>
          <w:sz w:val="24"/>
          <w:szCs w:val="24"/>
        </w:rPr>
        <w:t>, Северная Каролина.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Приглашенным редактором для этой статьи был </w:t>
      </w:r>
      <w:proofErr w:type="spellStart"/>
      <w:r w:rsidRPr="00761019">
        <w:rPr>
          <w:rStyle w:val="80"/>
          <w:sz w:val="24"/>
          <w:szCs w:val="24"/>
        </w:rPr>
        <w:t>Eric</w:t>
      </w:r>
      <w:proofErr w:type="spellEnd"/>
      <w:r w:rsidRPr="00761019">
        <w:rPr>
          <w:rStyle w:val="80"/>
          <w:sz w:val="24"/>
          <w:szCs w:val="24"/>
        </w:rPr>
        <w:t xml:space="preserve"> R. </w:t>
      </w:r>
      <w:proofErr w:type="spellStart"/>
      <w:r w:rsidRPr="00761019">
        <w:rPr>
          <w:rStyle w:val="80"/>
          <w:sz w:val="24"/>
          <w:szCs w:val="24"/>
        </w:rPr>
        <w:t>Bates</w:t>
      </w:r>
      <w:proofErr w:type="spellEnd"/>
      <w:r w:rsidRPr="00761019">
        <w:rPr>
          <w:rStyle w:val="80"/>
          <w:sz w:val="24"/>
          <w:szCs w:val="24"/>
        </w:rPr>
        <w:t>, MD.</w:t>
      </w:r>
    </w:p>
    <w:p w:rsidR="008F1F16" w:rsidRPr="00071DCB" w:rsidRDefault="008F1F16" w:rsidP="00FA1C57">
      <w:pPr>
        <w:rPr>
          <w:rFonts w:ascii="Times New Roman" w:hAnsi="Times New Roman"/>
          <w:sz w:val="24"/>
          <w:szCs w:val="24"/>
          <w:lang w:val="en-US"/>
        </w:rPr>
      </w:pPr>
      <w:r w:rsidRPr="00761019">
        <w:rPr>
          <w:rStyle w:val="80"/>
          <w:sz w:val="24"/>
          <w:szCs w:val="24"/>
        </w:rPr>
        <w:t xml:space="preserve">Адрес для корреспонденции: </w:t>
      </w:r>
      <w:proofErr w:type="spellStart"/>
      <w:r w:rsidRPr="00761019">
        <w:rPr>
          <w:rStyle w:val="80"/>
          <w:sz w:val="24"/>
          <w:szCs w:val="24"/>
        </w:rPr>
        <w:t>Tracy</w:t>
      </w:r>
      <w:proofErr w:type="spellEnd"/>
      <w:r w:rsidRPr="00761019">
        <w:rPr>
          <w:rStyle w:val="80"/>
          <w:sz w:val="24"/>
          <w:szCs w:val="24"/>
        </w:rPr>
        <w:t xml:space="preserve"> Y. </w:t>
      </w:r>
      <w:proofErr w:type="spellStart"/>
      <w:r w:rsidRPr="00761019">
        <w:rPr>
          <w:rStyle w:val="80"/>
          <w:sz w:val="24"/>
          <w:szCs w:val="24"/>
        </w:rPr>
        <w:t>Wang</w:t>
      </w:r>
      <w:proofErr w:type="spellEnd"/>
      <w:r w:rsidRPr="00761019">
        <w:rPr>
          <w:rStyle w:val="80"/>
          <w:sz w:val="24"/>
          <w:szCs w:val="24"/>
        </w:rPr>
        <w:t xml:space="preserve">, MD, MHS, </w:t>
      </w:r>
      <w:proofErr w:type="spellStart"/>
      <w:r w:rsidRPr="00761019">
        <w:rPr>
          <w:rStyle w:val="80"/>
          <w:sz w:val="24"/>
          <w:szCs w:val="24"/>
        </w:rPr>
        <w:t>MSc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Duke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Clinical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Research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Institute</w:t>
      </w:r>
      <w:proofErr w:type="spellEnd"/>
      <w:r w:rsidRPr="00761019">
        <w:rPr>
          <w:rStyle w:val="80"/>
          <w:sz w:val="24"/>
          <w:szCs w:val="24"/>
        </w:rPr>
        <w:t xml:space="preserve">, 2400 </w:t>
      </w:r>
      <w:proofErr w:type="spellStart"/>
      <w:r w:rsidRPr="00761019">
        <w:rPr>
          <w:rStyle w:val="80"/>
          <w:sz w:val="24"/>
          <w:szCs w:val="24"/>
        </w:rPr>
        <w:t>Pratt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St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Durham</w:t>
      </w:r>
      <w:proofErr w:type="spellEnd"/>
      <w:r w:rsidRPr="00761019">
        <w:rPr>
          <w:rStyle w:val="80"/>
          <w:sz w:val="24"/>
          <w:szCs w:val="24"/>
        </w:rPr>
        <w:t>, NC 27705. Электронная</w:t>
      </w:r>
      <w:r w:rsidRPr="00071DCB">
        <w:rPr>
          <w:rStyle w:val="80"/>
          <w:sz w:val="24"/>
          <w:szCs w:val="24"/>
          <w:lang w:val="en-US"/>
        </w:rPr>
        <w:t xml:space="preserve"> </w:t>
      </w:r>
      <w:r w:rsidRPr="00761019">
        <w:rPr>
          <w:rStyle w:val="80"/>
          <w:sz w:val="24"/>
          <w:szCs w:val="24"/>
        </w:rPr>
        <w:t>почта</w:t>
      </w:r>
      <w:r w:rsidRPr="00071DCB">
        <w:rPr>
          <w:rStyle w:val="80"/>
          <w:sz w:val="24"/>
          <w:szCs w:val="24"/>
          <w:lang w:val="en-US"/>
        </w:rPr>
        <w:t xml:space="preserve">: </w:t>
      </w:r>
      <w:r w:rsidRPr="00071DCB">
        <w:rPr>
          <w:rStyle w:val="Hyperlink"/>
          <w:rFonts w:ascii="Times New Roman" w:hAnsi="Times New Roman"/>
          <w:sz w:val="24"/>
          <w:szCs w:val="24"/>
          <w:lang w:val="en-US"/>
        </w:rPr>
        <w:t>tracy.wang@duke.edu</w:t>
      </w:r>
    </w:p>
    <w:p w:rsidR="008F1F16" w:rsidRPr="00071DCB" w:rsidRDefault="008F1F16" w:rsidP="00FA1C57">
      <w:pPr>
        <w:rPr>
          <w:rFonts w:ascii="Times New Roman" w:hAnsi="Times New Roman"/>
          <w:sz w:val="24"/>
          <w:szCs w:val="24"/>
          <w:lang w:val="en-US"/>
        </w:rPr>
      </w:pPr>
      <w:r w:rsidRPr="00071DCB">
        <w:rPr>
          <w:rStyle w:val="80"/>
          <w:sz w:val="24"/>
          <w:szCs w:val="24"/>
          <w:lang w:val="en-US"/>
        </w:rPr>
        <w:t>© 2011 American Heart Association, Inc.</w:t>
      </w:r>
    </w:p>
    <w:p w:rsidR="008F1F16" w:rsidRPr="00761019" w:rsidRDefault="008F1F16" w:rsidP="00FA1C57">
      <w:pPr>
        <w:tabs>
          <w:tab w:val="left" w:pos="6589"/>
        </w:tabs>
        <w:rPr>
          <w:rStyle w:val="Hyperlink"/>
          <w:rFonts w:ascii="Times New Roman" w:hAnsi="Times New Roman"/>
          <w:sz w:val="24"/>
          <w:szCs w:val="24"/>
        </w:rPr>
      </w:pPr>
      <w:r w:rsidRPr="00761019">
        <w:rPr>
          <w:rFonts w:ascii="Times New Roman" w:hAnsi="Times New Roman"/>
          <w:sz w:val="24"/>
          <w:szCs w:val="24"/>
        </w:rPr>
        <w:t xml:space="preserve">Журнал </w:t>
      </w:r>
      <w:proofErr w:type="spellStart"/>
      <w:r w:rsidRPr="00761019">
        <w:rPr>
          <w:rStyle w:val="90"/>
          <w:bCs/>
          <w:iCs/>
          <w:sz w:val="24"/>
          <w:szCs w:val="24"/>
        </w:rPr>
        <w:t>Circulation</w:t>
      </w:r>
      <w:proofErr w:type="spellEnd"/>
      <w:r w:rsidRPr="00761019">
        <w:rPr>
          <w:rStyle w:val="91"/>
          <w:bCs/>
          <w:sz w:val="24"/>
          <w:szCs w:val="24"/>
        </w:rPr>
        <w:t xml:space="preserve"> доступен на сайте: </w:t>
      </w:r>
      <w:hyperlink r:id="rId7" w:history="1">
        <w:r w:rsidRPr="00761019">
          <w:rPr>
            <w:rStyle w:val="Hyperlink"/>
            <w:rFonts w:ascii="Times New Roman" w:hAnsi="Times New Roman"/>
            <w:sz w:val="24"/>
            <w:szCs w:val="24"/>
          </w:rPr>
          <w:t>http://circ.ahajournals.org</w:t>
        </w:r>
      </w:hyperlink>
    </w:p>
    <w:p w:rsidR="008F1F16" w:rsidRPr="00761019" w:rsidRDefault="008F1F16" w:rsidP="00FA1C57">
      <w:pPr>
        <w:tabs>
          <w:tab w:val="left" w:pos="6589"/>
        </w:tabs>
        <w:rPr>
          <w:rFonts w:ascii="Times New Roman" w:hAnsi="Times New Roman"/>
          <w:sz w:val="24"/>
          <w:szCs w:val="24"/>
        </w:rPr>
      </w:pPr>
      <w:r w:rsidRPr="00761019">
        <w:rPr>
          <w:rStyle w:val="91"/>
          <w:bCs/>
          <w:sz w:val="24"/>
          <w:szCs w:val="24"/>
        </w:rPr>
        <w:t>DOI: 10.1161/CIRCULATIONAHA.110.958041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Fonts w:ascii="Times New Roman" w:hAnsi="Times New Roman"/>
          <w:sz w:val="24"/>
          <w:szCs w:val="24"/>
        </w:rPr>
        <w:t>Получено посетителем сайта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019">
        <w:rPr>
          <w:rStyle w:val="Hyperlink"/>
          <w:rFonts w:ascii="Times New Roman" w:hAnsi="Times New Roman"/>
          <w:sz w:val="24"/>
          <w:szCs w:val="24"/>
        </w:rPr>
        <w:t xml:space="preserve">http://circ.ahajoiiIjn2ls.org/ </w:t>
      </w:r>
      <w:r w:rsidRPr="00761019">
        <w:rPr>
          <w:rFonts w:ascii="Times New Roman" w:hAnsi="Times New Roman"/>
          <w:sz w:val="24"/>
          <w:szCs w:val="24"/>
        </w:rPr>
        <w:t>11 марта 2015 года.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Style w:val="2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proofErr w:type="gramStart"/>
      <w:r w:rsidRPr="00761019">
        <w:rPr>
          <w:rFonts w:ascii="Times New Roman" w:hAnsi="Times New Roman"/>
          <w:sz w:val="24"/>
          <w:szCs w:val="24"/>
        </w:rPr>
        <w:t xml:space="preserve">В актуальном руководстве по клинической практике, составленном Американской коллегией кардиологов / Американской кардиологической ассоциацией и Европейским обществом кардиологов, рекомендуется у пациентов с острым коронарным синдромом без подъема сегмента ST (NSTE ACS), у которых применяется тактика ранних инвазивных вмешательств, осуществлять </w:t>
      </w:r>
      <w:proofErr w:type="spellStart"/>
      <w:r w:rsidRPr="00761019">
        <w:rPr>
          <w:rFonts w:ascii="Times New Roman" w:hAnsi="Times New Roman"/>
          <w:sz w:val="24"/>
          <w:szCs w:val="24"/>
        </w:rPr>
        <w:t>ант</w:t>
      </w:r>
      <w:r>
        <w:rPr>
          <w:rFonts w:ascii="Times New Roman" w:hAnsi="Times New Roman"/>
          <w:sz w:val="24"/>
          <w:szCs w:val="24"/>
        </w:rPr>
        <w:t>и</w:t>
      </w:r>
      <w:r w:rsidRPr="00761019">
        <w:rPr>
          <w:rFonts w:ascii="Times New Roman" w:hAnsi="Times New Roman"/>
          <w:sz w:val="24"/>
          <w:szCs w:val="24"/>
        </w:rPr>
        <w:t>тромбоцитарную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терапию с использованием либо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, либо ингибитора гликопротеина </w:t>
      </w:r>
      <w:proofErr w:type="spellStart"/>
      <w:r w:rsidRPr="00761019">
        <w:rPr>
          <w:rFonts w:ascii="Times New Roman" w:hAnsi="Times New Roman"/>
          <w:sz w:val="24"/>
          <w:szCs w:val="24"/>
        </w:rPr>
        <w:t>IIb</w:t>
      </w:r>
      <w:proofErr w:type="spellEnd"/>
      <w:r w:rsidRPr="00761019">
        <w:rPr>
          <w:rFonts w:ascii="Times New Roman" w:hAnsi="Times New Roman"/>
          <w:sz w:val="24"/>
          <w:szCs w:val="24"/>
        </w:rPr>
        <w:t>/</w:t>
      </w:r>
      <w:proofErr w:type="spellStart"/>
      <w:r w:rsidRPr="00761019">
        <w:rPr>
          <w:rFonts w:ascii="Times New Roman" w:hAnsi="Times New Roman"/>
          <w:sz w:val="24"/>
          <w:szCs w:val="24"/>
        </w:rPr>
        <w:t>IIIa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в опережающем режиме, до проведения диагностической ангиографии (рекомендация I класса, уровень</w:t>
      </w:r>
      <w:proofErr w:type="gramEnd"/>
      <w:r w:rsidRPr="00761019">
        <w:rPr>
          <w:rFonts w:ascii="Times New Roman" w:hAnsi="Times New Roman"/>
          <w:sz w:val="24"/>
          <w:szCs w:val="24"/>
        </w:rPr>
        <w:t xml:space="preserve"> доказательств А).</w:t>
      </w:r>
      <w:r w:rsidRPr="00761019">
        <w:rPr>
          <w:rFonts w:ascii="Times New Roman" w:hAnsi="Times New Roman"/>
          <w:sz w:val="24"/>
          <w:szCs w:val="24"/>
          <w:vertAlign w:val="superscript"/>
        </w:rPr>
        <w:t>1,2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Среди пациентов с характеристиками, указывающими на высокий риск, можно рассмотреть целесообразность опережающего применения как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, так и </w:t>
      </w:r>
      <w:r w:rsidRPr="00761019">
        <w:rPr>
          <w:rStyle w:val="2"/>
          <w:sz w:val="24"/>
          <w:szCs w:val="24"/>
        </w:rPr>
        <w:lastRenderedPageBreak/>
        <w:t xml:space="preserve">ингибитора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</w:t>
      </w:r>
      <w:proofErr w:type="gramStart"/>
      <w:r w:rsidRPr="00761019">
        <w:rPr>
          <w:rStyle w:val="2"/>
          <w:sz w:val="24"/>
          <w:szCs w:val="24"/>
        </w:rPr>
        <w:t>а</w:t>
      </w:r>
      <w:proofErr w:type="spellEnd"/>
      <w:proofErr w:type="gramEnd"/>
      <w:r w:rsidRPr="00761019">
        <w:rPr>
          <w:rStyle w:val="2"/>
          <w:sz w:val="24"/>
          <w:szCs w:val="24"/>
        </w:rPr>
        <w:t xml:space="preserve"> до </w:t>
      </w:r>
      <w:proofErr w:type="spellStart"/>
      <w:r w:rsidRPr="00761019">
        <w:rPr>
          <w:rStyle w:val="2"/>
          <w:sz w:val="24"/>
          <w:szCs w:val="24"/>
        </w:rPr>
        <w:t>коронароангиографии</w:t>
      </w:r>
      <w:proofErr w:type="spellEnd"/>
      <w:r w:rsidRPr="00761019">
        <w:rPr>
          <w:rStyle w:val="2"/>
          <w:sz w:val="24"/>
          <w:szCs w:val="24"/>
        </w:rPr>
        <w:t xml:space="preserve"> (рекомендация </w:t>
      </w:r>
      <w:proofErr w:type="spellStart"/>
      <w:r w:rsidRPr="00761019">
        <w:rPr>
          <w:rStyle w:val="2"/>
          <w:sz w:val="24"/>
          <w:szCs w:val="24"/>
        </w:rPr>
        <w:t>IIa</w:t>
      </w:r>
      <w:proofErr w:type="spellEnd"/>
      <w:r w:rsidRPr="00761019">
        <w:rPr>
          <w:rStyle w:val="2"/>
          <w:sz w:val="24"/>
          <w:szCs w:val="24"/>
        </w:rPr>
        <w:t xml:space="preserve"> класса, уровень доказательств В).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>Состояние острого коронарного синдрома (ОКС) характеризуется усиленной активацией и агрегацией тромбоцитов,</w:t>
      </w:r>
      <w:r w:rsidRPr="00761019">
        <w:rPr>
          <w:rStyle w:val="2"/>
          <w:sz w:val="24"/>
          <w:szCs w:val="24"/>
          <w:vertAlign w:val="superscript"/>
        </w:rPr>
        <w:t>3</w:t>
      </w:r>
      <w:r w:rsidRPr="00761019">
        <w:rPr>
          <w:rStyle w:val="2"/>
          <w:sz w:val="24"/>
          <w:szCs w:val="24"/>
        </w:rPr>
        <w:t xml:space="preserve"> при этом применение более мощных </w:t>
      </w:r>
      <w:proofErr w:type="spellStart"/>
      <w:r w:rsidRPr="00761019">
        <w:rPr>
          <w:rStyle w:val="2"/>
          <w:sz w:val="24"/>
          <w:szCs w:val="24"/>
        </w:rPr>
        <w:t>антитромбоцитарных</w:t>
      </w:r>
      <w:proofErr w:type="spellEnd"/>
      <w:r w:rsidRPr="00761019">
        <w:rPr>
          <w:rStyle w:val="2"/>
          <w:sz w:val="24"/>
          <w:szCs w:val="24"/>
        </w:rPr>
        <w:t xml:space="preserve"> препаратов способствует улучшению клинического исхода.</w:t>
      </w:r>
      <w:r w:rsidRPr="00761019">
        <w:rPr>
          <w:rStyle w:val="2"/>
          <w:sz w:val="24"/>
          <w:szCs w:val="24"/>
          <w:vertAlign w:val="superscript"/>
        </w:rPr>
        <w:t>4,5</w:t>
      </w:r>
      <w:r w:rsidRPr="00761019">
        <w:rPr>
          <w:rStyle w:val="2"/>
          <w:sz w:val="24"/>
          <w:szCs w:val="24"/>
        </w:rPr>
        <w:t xml:space="preserve"> Данные, полученные у пациентов с ОКС, которым проводилось </w:t>
      </w:r>
      <w:proofErr w:type="spellStart"/>
      <w:r w:rsidRPr="00761019">
        <w:rPr>
          <w:rStyle w:val="2"/>
          <w:sz w:val="24"/>
          <w:szCs w:val="24"/>
        </w:rPr>
        <w:t>чрескожное</w:t>
      </w:r>
      <w:proofErr w:type="spellEnd"/>
      <w:r w:rsidRPr="00761019">
        <w:rPr>
          <w:rStyle w:val="2"/>
          <w:sz w:val="24"/>
          <w:szCs w:val="24"/>
        </w:rPr>
        <w:t xml:space="preserve"> коронарное вмешательство (ЧКВ), убедительно свидетельствуют о том, что раннее опережающее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препятствует возникновению послеоперационных ишемических осложнений.</w:t>
      </w:r>
      <w:r w:rsidRPr="00761019">
        <w:rPr>
          <w:rStyle w:val="2"/>
          <w:sz w:val="24"/>
          <w:szCs w:val="24"/>
          <w:vertAlign w:val="superscript"/>
        </w:rPr>
        <w:t>6-8</w:t>
      </w:r>
      <w:proofErr w:type="gramStart"/>
      <w:r w:rsidRPr="00761019">
        <w:rPr>
          <w:rStyle w:val="2"/>
          <w:sz w:val="24"/>
          <w:szCs w:val="24"/>
          <w:vertAlign w:val="superscript"/>
        </w:rPr>
        <w:t xml:space="preserve"> </w:t>
      </w:r>
      <w:r w:rsidRPr="00761019">
        <w:rPr>
          <w:rStyle w:val="2"/>
          <w:sz w:val="24"/>
          <w:szCs w:val="24"/>
        </w:rPr>
        <w:t>О</w:t>
      </w:r>
      <w:proofErr w:type="gramEnd"/>
      <w:r w:rsidRPr="00761019">
        <w:rPr>
          <w:rStyle w:val="2"/>
          <w:sz w:val="24"/>
          <w:szCs w:val="24"/>
        </w:rPr>
        <w:t xml:space="preserve">днако в этих исследованиях ингибиторы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IIIа</w:t>
      </w:r>
      <w:proofErr w:type="spellEnd"/>
      <w:r w:rsidRPr="00761019">
        <w:rPr>
          <w:rStyle w:val="2"/>
          <w:sz w:val="24"/>
          <w:szCs w:val="24"/>
        </w:rPr>
        <w:t xml:space="preserve"> либо использовались редко, либо назначались позднее в течение </w:t>
      </w:r>
      <w:proofErr w:type="spellStart"/>
      <w:r w:rsidRPr="00761019">
        <w:rPr>
          <w:rStyle w:val="2"/>
          <w:sz w:val="24"/>
          <w:szCs w:val="24"/>
        </w:rPr>
        <w:t>периинтервенционного</w:t>
      </w:r>
      <w:proofErr w:type="spellEnd"/>
      <w:r w:rsidRPr="00761019">
        <w:rPr>
          <w:rStyle w:val="2"/>
          <w:sz w:val="24"/>
          <w:szCs w:val="24"/>
        </w:rPr>
        <w:t xml:space="preserve"> периода.</w:t>
      </w:r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В исследовании «Раннее применение ингибиторов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</w:t>
      </w:r>
      <w:proofErr w:type="gramStart"/>
      <w:r w:rsidRPr="00761019">
        <w:rPr>
          <w:rStyle w:val="2"/>
          <w:sz w:val="24"/>
          <w:szCs w:val="24"/>
        </w:rPr>
        <w:t>а</w:t>
      </w:r>
      <w:proofErr w:type="spellEnd"/>
      <w:proofErr w:type="gramEnd"/>
      <w:r w:rsidRPr="00761019">
        <w:rPr>
          <w:rStyle w:val="2"/>
          <w:sz w:val="24"/>
          <w:szCs w:val="24"/>
        </w:rPr>
        <w:t xml:space="preserve"> у пациентов с острым коронарным синдромом без подъема сегмента ST» (EARLY ACS) пациенты с NSTE ACS высокого риска, у которых планировалась инвазивная стратегия, были </w:t>
      </w:r>
      <w:proofErr w:type="spellStart"/>
      <w:r w:rsidRPr="00761019">
        <w:rPr>
          <w:rStyle w:val="2"/>
          <w:sz w:val="24"/>
          <w:szCs w:val="24"/>
        </w:rPr>
        <w:t>рандомизированы</w:t>
      </w:r>
      <w:proofErr w:type="spellEnd"/>
      <w:r w:rsidRPr="00761019">
        <w:rPr>
          <w:rStyle w:val="2"/>
          <w:sz w:val="24"/>
          <w:szCs w:val="24"/>
        </w:rPr>
        <w:t xml:space="preserve"> в группы опережающего применения плацебо или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вместе с отсроченным избирательным применением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в период ЧКВ. Первоначальные результаты показали, что применение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за 12 часов и более до ангиографии не имело превосходства перед отсроченным избирательным применением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во время ЧКВ, но сопровождалось большей частотой кровотечений и </w:t>
      </w:r>
      <w:r w:rsidRPr="00B41949">
        <w:rPr>
          <w:rStyle w:val="2"/>
          <w:sz w:val="24"/>
          <w:szCs w:val="24"/>
        </w:rPr>
        <w:t>необходимост</w:t>
      </w:r>
      <w:r>
        <w:rPr>
          <w:rStyle w:val="2"/>
          <w:sz w:val="24"/>
          <w:szCs w:val="24"/>
        </w:rPr>
        <w:t>ью</w:t>
      </w:r>
      <w:r w:rsidRPr="00761019">
        <w:rPr>
          <w:rStyle w:val="2"/>
          <w:sz w:val="24"/>
          <w:szCs w:val="24"/>
        </w:rPr>
        <w:t xml:space="preserve"> гемотрансфузии.</w:t>
      </w:r>
      <w:r w:rsidRPr="00761019">
        <w:rPr>
          <w:rStyle w:val="2"/>
          <w:sz w:val="24"/>
          <w:szCs w:val="24"/>
          <w:vertAlign w:val="superscript"/>
        </w:rPr>
        <w:t>9</w:t>
      </w:r>
      <w:proofErr w:type="gramStart"/>
      <w:r w:rsidRPr="00761019">
        <w:rPr>
          <w:rStyle w:val="2"/>
          <w:sz w:val="24"/>
          <w:szCs w:val="24"/>
        </w:rPr>
        <w:t xml:space="preserve"> В</w:t>
      </w:r>
      <w:proofErr w:type="gramEnd"/>
      <w:r w:rsidRPr="00761019">
        <w:rPr>
          <w:rStyle w:val="2"/>
          <w:sz w:val="24"/>
          <w:szCs w:val="24"/>
        </w:rPr>
        <w:t xml:space="preserve"> исследовании применялась стратификации </w:t>
      </w:r>
      <w:proofErr w:type="spellStart"/>
      <w:r w:rsidRPr="00761019">
        <w:rPr>
          <w:rStyle w:val="2"/>
          <w:sz w:val="24"/>
          <w:szCs w:val="24"/>
        </w:rPr>
        <w:t>рандомизированных</w:t>
      </w:r>
      <w:proofErr w:type="spellEnd"/>
      <w:r w:rsidRPr="00761019">
        <w:rPr>
          <w:rStyle w:val="2"/>
          <w:sz w:val="24"/>
          <w:szCs w:val="24"/>
        </w:rPr>
        <w:t xml:space="preserve"> пациентов по заявленному намерению опережающего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. В общей популяции исследования значимых межгрупповых взаимодействий по первичным и ключевым вторичным показателям эффективности не наблюдалось. В </w:t>
      </w:r>
      <w:r w:rsidR="00B670C4">
        <w:rPr>
          <w:rStyle w:val="2"/>
          <w:sz w:val="24"/>
          <w:szCs w:val="24"/>
        </w:rPr>
        <w:t>этом</w:t>
      </w:r>
      <w:r w:rsidRPr="00761019">
        <w:rPr>
          <w:rStyle w:val="2"/>
          <w:sz w:val="24"/>
          <w:szCs w:val="24"/>
        </w:rPr>
        <w:t xml:space="preserve"> анализе мы провели оценку пациентов, которым проводилась коронарная ангиография, для того чтобы определить, влияло ли предварительное назначение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на положительный эффект и безопасность рутинного опережающего применения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до ангиографии, при этом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учитывалось как по намерению его использования, так и по факту применения.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95512B" w:rsidRDefault="008F1F16" w:rsidP="00FA1C57">
      <w:pPr>
        <w:jc w:val="center"/>
        <w:rPr>
          <w:rFonts w:ascii="Times New Roman" w:hAnsi="Times New Roman"/>
          <w:sz w:val="32"/>
          <w:szCs w:val="32"/>
        </w:rPr>
      </w:pPr>
      <w:r w:rsidRPr="0095512B">
        <w:rPr>
          <w:rStyle w:val="42"/>
          <w:bCs/>
          <w:sz w:val="32"/>
          <w:szCs w:val="32"/>
        </w:rPr>
        <w:t>Методы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61"/>
          <w:bCs/>
          <w:sz w:val="24"/>
          <w:szCs w:val="24"/>
        </w:rPr>
        <w:t>Исследуемая популяция</w:t>
      </w:r>
    </w:p>
    <w:p w:rsidR="008F1F16" w:rsidRPr="00761019" w:rsidRDefault="008F1F16" w:rsidP="00FA1C57">
      <w:pPr>
        <w:rPr>
          <w:rStyle w:val="80"/>
          <w:sz w:val="24"/>
          <w:szCs w:val="24"/>
        </w:rPr>
      </w:pPr>
      <w:r w:rsidRPr="00761019">
        <w:rPr>
          <w:rStyle w:val="80"/>
          <w:sz w:val="24"/>
          <w:szCs w:val="24"/>
        </w:rPr>
        <w:t>Дизайн исследования EARLY ACS был подробно описан ранее.</w:t>
      </w:r>
      <w:r w:rsidRPr="00761019">
        <w:rPr>
          <w:rStyle w:val="80"/>
          <w:sz w:val="24"/>
          <w:szCs w:val="24"/>
          <w:vertAlign w:val="superscript"/>
        </w:rPr>
        <w:t>9,10</w:t>
      </w:r>
      <w:proofErr w:type="gramStart"/>
      <w:r w:rsidRPr="00761019">
        <w:rPr>
          <w:rStyle w:val="80"/>
          <w:sz w:val="24"/>
          <w:szCs w:val="24"/>
        </w:rPr>
        <w:t xml:space="preserve"> В</w:t>
      </w:r>
      <w:proofErr w:type="gramEnd"/>
      <w:r w:rsidRPr="00761019">
        <w:rPr>
          <w:rStyle w:val="80"/>
          <w:sz w:val="24"/>
          <w:szCs w:val="24"/>
        </w:rPr>
        <w:t xml:space="preserve">кратце, пациенты с ишемическими симптомами, сохранявшимися не менее 10 минут и возникшими в пределах 24 часов перед рандомизацией, могли быть включены в исследование, если у них выполнялось 2 и более из нижеперечисленных критериев: вновь возникшая депрессия сегмента ST или преходящая </w:t>
      </w:r>
      <w:proofErr w:type="spellStart"/>
      <w:r w:rsidRPr="00761019">
        <w:rPr>
          <w:rStyle w:val="80"/>
          <w:sz w:val="24"/>
          <w:szCs w:val="24"/>
        </w:rPr>
        <w:t>элевация</w:t>
      </w:r>
      <w:proofErr w:type="spellEnd"/>
      <w:r w:rsidRPr="00761019">
        <w:rPr>
          <w:rStyle w:val="80"/>
          <w:sz w:val="24"/>
          <w:szCs w:val="24"/>
        </w:rPr>
        <w:t xml:space="preserve"> сегмента ST ≥</w:t>
      </w:r>
      <w:r w:rsidR="00B670C4">
        <w:rPr>
          <w:rStyle w:val="80"/>
          <w:sz w:val="24"/>
          <w:szCs w:val="24"/>
        </w:rPr>
        <w:t xml:space="preserve"> </w:t>
      </w:r>
      <w:r w:rsidRPr="00761019">
        <w:rPr>
          <w:rStyle w:val="80"/>
          <w:sz w:val="24"/>
          <w:szCs w:val="24"/>
        </w:rPr>
        <w:t xml:space="preserve">0,1 мВ в 2 и более смежных отведениях; повышение уровня </w:t>
      </w:r>
      <w:proofErr w:type="spellStart"/>
      <w:r w:rsidRPr="00761019">
        <w:rPr>
          <w:rStyle w:val="80"/>
          <w:sz w:val="24"/>
          <w:szCs w:val="24"/>
        </w:rPr>
        <w:t>тропонина</w:t>
      </w:r>
      <w:proofErr w:type="spellEnd"/>
      <w:r w:rsidRPr="00761019">
        <w:rPr>
          <w:rStyle w:val="80"/>
          <w:sz w:val="24"/>
          <w:szCs w:val="24"/>
        </w:rPr>
        <w:t xml:space="preserve"> или </w:t>
      </w:r>
      <w:proofErr w:type="spellStart"/>
      <w:r w:rsidRPr="00761019">
        <w:rPr>
          <w:rStyle w:val="80"/>
          <w:sz w:val="24"/>
          <w:szCs w:val="24"/>
        </w:rPr>
        <w:t>креатинкиназы</w:t>
      </w:r>
      <w:proofErr w:type="spellEnd"/>
      <w:r w:rsidRPr="00761019">
        <w:rPr>
          <w:rStyle w:val="80"/>
          <w:sz w:val="24"/>
          <w:szCs w:val="24"/>
        </w:rPr>
        <w:t xml:space="preserve"> MB; </w:t>
      </w:r>
      <w:proofErr w:type="gramStart"/>
      <w:r w:rsidRPr="00761019">
        <w:rPr>
          <w:rStyle w:val="80"/>
          <w:sz w:val="24"/>
          <w:szCs w:val="24"/>
        </w:rPr>
        <w:t>возрасте</w:t>
      </w:r>
      <w:proofErr w:type="gramEnd"/>
      <w:r w:rsidRPr="00761019">
        <w:rPr>
          <w:rStyle w:val="80"/>
          <w:sz w:val="24"/>
          <w:szCs w:val="24"/>
        </w:rPr>
        <w:t xml:space="preserve"> 60 лет и более или возраст от 50 до 59 лет при наличии документально подтвержденного поражения коронарных, церебральных или периферических артерий (в возрастной группе 50-59 лет требовалось повышение уровня маркеров ишемии). Основными критериями исключения были повышенный риск кровотечений, аллергия на гепарин или </w:t>
      </w:r>
      <w:proofErr w:type="spellStart"/>
      <w:r w:rsidRPr="00761019">
        <w:rPr>
          <w:rStyle w:val="80"/>
          <w:sz w:val="24"/>
          <w:szCs w:val="24"/>
        </w:rPr>
        <w:t>эптифибатид</w:t>
      </w:r>
      <w:proofErr w:type="spellEnd"/>
      <w:r w:rsidRPr="00761019">
        <w:rPr>
          <w:rStyle w:val="80"/>
          <w:sz w:val="24"/>
          <w:szCs w:val="24"/>
        </w:rPr>
        <w:t xml:space="preserve">, беременность, проведение почечного диализа в течение предшествующих 30 дней, недавнее применение ингибитора гликопротеина </w:t>
      </w:r>
      <w:proofErr w:type="spellStart"/>
      <w:r w:rsidRPr="00761019">
        <w:rPr>
          <w:rStyle w:val="80"/>
          <w:sz w:val="24"/>
          <w:szCs w:val="24"/>
        </w:rPr>
        <w:t>IIb</w:t>
      </w:r>
      <w:proofErr w:type="spellEnd"/>
      <w:r w:rsidRPr="00761019">
        <w:rPr>
          <w:rStyle w:val="80"/>
          <w:sz w:val="24"/>
          <w:szCs w:val="24"/>
        </w:rPr>
        <w:t>/</w:t>
      </w:r>
      <w:proofErr w:type="spellStart"/>
      <w:r w:rsidRPr="00761019">
        <w:rPr>
          <w:rStyle w:val="80"/>
          <w:sz w:val="24"/>
          <w:szCs w:val="24"/>
        </w:rPr>
        <w:t>IIIa</w:t>
      </w:r>
      <w:proofErr w:type="spellEnd"/>
      <w:r w:rsidRPr="00761019">
        <w:rPr>
          <w:rStyle w:val="80"/>
          <w:sz w:val="24"/>
          <w:szCs w:val="24"/>
        </w:rPr>
        <w:t xml:space="preserve"> или другие состояния, создающие повышенный риск для пациента. Всего 9492 пациента были </w:t>
      </w:r>
      <w:proofErr w:type="spellStart"/>
      <w:r w:rsidRPr="00761019">
        <w:rPr>
          <w:rStyle w:val="80"/>
          <w:sz w:val="24"/>
          <w:szCs w:val="24"/>
        </w:rPr>
        <w:t>рандомизированы</w:t>
      </w:r>
      <w:proofErr w:type="spellEnd"/>
      <w:r w:rsidRPr="00761019">
        <w:rPr>
          <w:rStyle w:val="80"/>
          <w:sz w:val="24"/>
          <w:szCs w:val="24"/>
        </w:rPr>
        <w:t xml:space="preserve"> в течение 12 часов после госпитализации, и им было проведено либо раннее введение болюса и </w:t>
      </w:r>
      <w:proofErr w:type="spellStart"/>
      <w:r w:rsidRPr="00761019">
        <w:rPr>
          <w:rStyle w:val="80"/>
          <w:sz w:val="24"/>
          <w:szCs w:val="24"/>
        </w:rPr>
        <w:t>инфузии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эптифибатида</w:t>
      </w:r>
      <w:proofErr w:type="spellEnd"/>
      <w:r w:rsidRPr="00761019">
        <w:rPr>
          <w:rStyle w:val="80"/>
          <w:sz w:val="24"/>
          <w:szCs w:val="24"/>
        </w:rPr>
        <w:t xml:space="preserve">, либо раннее введение плацебо вместе с отсроченным избирательным введением </w:t>
      </w:r>
      <w:proofErr w:type="spellStart"/>
      <w:r w:rsidRPr="00761019">
        <w:rPr>
          <w:rStyle w:val="80"/>
          <w:sz w:val="24"/>
          <w:szCs w:val="24"/>
        </w:rPr>
        <w:t>эптифибатида</w:t>
      </w:r>
      <w:proofErr w:type="spellEnd"/>
      <w:r w:rsidRPr="00761019">
        <w:rPr>
          <w:rStyle w:val="80"/>
          <w:sz w:val="24"/>
          <w:szCs w:val="24"/>
        </w:rPr>
        <w:t xml:space="preserve"> после ангиографии, но до того, как пациенту, по решению лечащего врача, было проведено ЧКВ. Среди них у 9406 пациентов имелась возможность провести оценку основных и дополнительных показателей эффективности </w:t>
      </w:r>
      <w:r w:rsidRPr="00761019">
        <w:rPr>
          <w:rStyle w:val="80"/>
          <w:sz w:val="24"/>
          <w:szCs w:val="24"/>
        </w:rPr>
        <w:lastRenderedPageBreak/>
        <w:t xml:space="preserve">(подробности см. в статье </w:t>
      </w:r>
      <w:proofErr w:type="spellStart"/>
      <w:r w:rsidRPr="00761019">
        <w:rPr>
          <w:rStyle w:val="80"/>
          <w:sz w:val="24"/>
          <w:szCs w:val="24"/>
        </w:rPr>
        <w:t>Giugliano</w:t>
      </w:r>
      <w:proofErr w:type="spellEnd"/>
      <w:r w:rsidRPr="00761019">
        <w:rPr>
          <w:rStyle w:val="80"/>
          <w:sz w:val="24"/>
          <w:szCs w:val="24"/>
        </w:rPr>
        <w:t xml:space="preserve"> и соавт.</w:t>
      </w:r>
      <w:r w:rsidRPr="00761019">
        <w:rPr>
          <w:rStyle w:val="80"/>
          <w:sz w:val="24"/>
          <w:szCs w:val="24"/>
          <w:vertAlign w:val="superscript"/>
        </w:rPr>
        <w:t>9</w:t>
      </w:r>
      <w:r w:rsidRPr="00761019">
        <w:rPr>
          <w:rStyle w:val="80"/>
          <w:sz w:val="24"/>
          <w:szCs w:val="24"/>
        </w:rPr>
        <w:t>), но у 240 пациентов катетеризация не была выполнена, в результате чего в настоящий анализ вошло 9166 пациентов.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63"/>
          <w:bCs/>
          <w:sz w:val="24"/>
          <w:szCs w:val="24"/>
        </w:rPr>
        <w:t xml:space="preserve">Лечение </w:t>
      </w:r>
      <w:proofErr w:type="spellStart"/>
      <w:r w:rsidRPr="00761019">
        <w:rPr>
          <w:rStyle w:val="63"/>
          <w:bCs/>
          <w:sz w:val="24"/>
          <w:szCs w:val="24"/>
        </w:rPr>
        <w:t>эптифибатидом</w:t>
      </w:r>
      <w:proofErr w:type="spellEnd"/>
      <w:r w:rsidRPr="00761019">
        <w:rPr>
          <w:rStyle w:val="63"/>
          <w:bCs/>
          <w:sz w:val="24"/>
          <w:szCs w:val="24"/>
        </w:rPr>
        <w:t xml:space="preserve"> и </w:t>
      </w:r>
      <w:proofErr w:type="spellStart"/>
      <w:r w:rsidRPr="00761019">
        <w:rPr>
          <w:rStyle w:val="63"/>
          <w:bCs/>
          <w:sz w:val="24"/>
          <w:szCs w:val="24"/>
        </w:rPr>
        <w:t>клопидогрелем</w:t>
      </w:r>
      <w:proofErr w:type="spellEnd"/>
    </w:p>
    <w:p w:rsidR="008F1F16" w:rsidRPr="00761019" w:rsidRDefault="008F1F16" w:rsidP="00FA1C57">
      <w:pPr>
        <w:rPr>
          <w:rStyle w:val="80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В исследовании EARLY ACS выполнялась блочная рандомизация по исследовательским центрам; стратификация проводилась по такому параметру, как намерение исследователя применить </w:t>
      </w:r>
      <w:proofErr w:type="spellStart"/>
      <w:r w:rsidRPr="00761019">
        <w:rPr>
          <w:rStyle w:val="80"/>
          <w:sz w:val="24"/>
          <w:szCs w:val="24"/>
        </w:rPr>
        <w:t>клопидогрель</w:t>
      </w:r>
      <w:proofErr w:type="spellEnd"/>
      <w:r w:rsidRPr="00761019">
        <w:rPr>
          <w:rStyle w:val="80"/>
          <w:sz w:val="24"/>
          <w:szCs w:val="24"/>
        </w:rPr>
        <w:t xml:space="preserve"> в опережающем режиме (то есть до проведения коронарной ангиографии). По протоколу, ангиография должны была быть проведена не менее чем через 12 часов после первого введения исследуемого препарата. Использование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и время начала терапии определялись лечащими врачами. Если </w:t>
      </w:r>
      <w:proofErr w:type="spellStart"/>
      <w:r w:rsidRPr="00761019">
        <w:rPr>
          <w:rStyle w:val="80"/>
          <w:sz w:val="24"/>
          <w:szCs w:val="24"/>
        </w:rPr>
        <w:t>клопидогрель</w:t>
      </w:r>
      <w:proofErr w:type="spellEnd"/>
      <w:r w:rsidRPr="00761019">
        <w:rPr>
          <w:rStyle w:val="80"/>
          <w:sz w:val="24"/>
          <w:szCs w:val="24"/>
        </w:rPr>
        <w:t xml:space="preserve"> использовался на раннем этапе, то рекомендуемая нагрузочная доза составляла 300 мг. Нагрузочную дозу 600 мг разрешалось вводить во время ЧКВ, если ранее нагрузочная доза не вводилась. Рекомендованная поддерживающая доза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составляла 75 мг в сутки. Одновременно пациенты получали аспирин (162-325 мг перорально или 150-500 мг внутривенно болюсом, а затем 75 мг ежедневно) и, по предпочтению исследователя, скорректированную по массе тела дозу </w:t>
      </w:r>
      <w:proofErr w:type="spellStart"/>
      <w:r w:rsidRPr="00761019">
        <w:rPr>
          <w:rStyle w:val="80"/>
          <w:sz w:val="24"/>
          <w:szCs w:val="24"/>
        </w:rPr>
        <w:t>нефракционированного</w:t>
      </w:r>
      <w:proofErr w:type="spellEnd"/>
      <w:r w:rsidRPr="00761019">
        <w:rPr>
          <w:rStyle w:val="80"/>
          <w:sz w:val="24"/>
          <w:szCs w:val="24"/>
        </w:rPr>
        <w:t xml:space="preserve"> гепарина, </w:t>
      </w:r>
      <w:proofErr w:type="spellStart"/>
      <w:r w:rsidRPr="00761019">
        <w:rPr>
          <w:rStyle w:val="80"/>
          <w:sz w:val="24"/>
          <w:szCs w:val="24"/>
        </w:rPr>
        <w:t>эноксапарина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316702">
        <w:rPr>
          <w:rStyle w:val="80"/>
          <w:sz w:val="24"/>
          <w:szCs w:val="24"/>
        </w:rPr>
        <w:t>бивалирудина</w:t>
      </w:r>
      <w:proofErr w:type="spellEnd"/>
      <w:r w:rsidRPr="00761019">
        <w:rPr>
          <w:rStyle w:val="80"/>
          <w:sz w:val="24"/>
          <w:szCs w:val="24"/>
        </w:rPr>
        <w:t xml:space="preserve"> или </w:t>
      </w:r>
      <w:proofErr w:type="spellStart"/>
      <w:r w:rsidRPr="00761019">
        <w:rPr>
          <w:rStyle w:val="80"/>
          <w:sz w:val="24"/>
          <w:szCs w:val="24"/>
        </w:rPr>
        <w:t>фондапаринукса</w:t>
      </w:r>
      <w:proofErr w:type="spellEnd"/>
      <w:r w:rsidRPr="00761019">
        <w:rPr>
          <w:rStyle w:val="80"/>
          <w:sz w:val="24"/>
          <w:szCs w:val="24"/>
        </w:rPr>
        <w:t>. Другие лекарственные препараты вводились в соответствии со стандартной практикой и общепринятыми руководствами.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61"/>
          <w:bCs/>
          <w:sz w:val="24"/>
          <w:szCs w:val="24"/>
        </w:rPr>
        <w:t xml:space="preserve">Определение опережающего применения </w:t>
      </w:r>
      <w:proofErr w:type="spellStart"/>
      <w:r w:rsidRPr="00761019">
        <w:rPr>
          <w:rStyle w:val="61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Style w:val="80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Для целей основного анализа под опережающим применением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подразумевалось заявленное при рандомизации намерение применить препарат; эту информацию получали из электронных записей интерактивной голосовой системы, использовавшейся при рандомизации. Далее в ходе анализа чувствительности мы определяли опережающее применение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по фактическому проведению лечения этим препаратом до ангиографии. Факт проведения лечения устанавливали по индивидуальной регистрационной карте; в анализ включали пациентов, уже получавших </w:t>
      </w:r>
      <w:proofErr w:type="spellStart"/>
      <w:r w:rsidRPr="00761019">
        <w:rPr>
          <w:rStyle w:val="80"/>
          <w:sz w:val="24"/>
          <w:szCs w:val="24"/>
        </w:rPr>
        <w:t>клопидогрель</w:t>
      </w:r>
      <w:proofErr w:type="spellEnd"/>
      <w:r w:rsidRPr="00761019">
        <w:rPr>
          <w:rStyle w:val="80"/>
          <w:sz w:val="24"/>
          <w:szCs w:val="24"/>
        </w:rPr>
        <w:t xml:space="preserve"> на момент рандомизации, а также тех, у которых дата и время первого введения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предшествовали времени проведения коронарной ангиографии.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63"/>
          <w:bCs/>
          <w:sz w:val="24"/>
          <w:szCs w:val="24"/>
        </w:rPr>
        <w:t>Статистические методы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Исходные клинические характеристики, одновременно применяемые лекарственные препараты и индексные процедуры представлены по группам, соответствующим проведению или отсутствию опережающей терапии </w:t>
      </w:r>
      <w:proofErr w:type="spellStart"/>
      <w:r w:rsidRPr="00761019">
        <w:rPr>
          <w:rStyle w:val="80"/>
          <w:sz w:val="24"/>
          <w:szCs w:val="24"/>
        </w:rPr>
        <w:t>клопидогрелем</w:t>
      </w:r>
      <w:proofErr w:type="spellEnd"/>
      <w:r w:rsidRPr="00761019">
        <w:rPr>
          <w:rStyle w:val="80"/>
          <w:sz w:val="24"/>
          <w:szCs w:val="24"/>
        </w:rPr>
        <w:t xml:space="preserve">, с использованием медиан (25-х и 75-х </w:t>
      </w:r>
      <w:proofErr w:type="spellStart"/>
      <w:r w:rsidRPr="00761019">
        <w:rPr>
          <w:rStyle w:val="80"/>
          <w:sz w:val="24"/>
          <w:szCs w:val="24"/>
        </w:rPr>
        <w:t>процентилей</w:t>
      </w:r>
      <w:proofErr w:type="spellEnd"/>
      <w:r w:rsidRPr="00761019">
        <w:rPr>
          <w:rStyle w:val="80"/>
          <w:sz w:val="24"/>
          <w:szCs w:val="24"/>
        </w:rPr>
        <w:t xml:space="preserve">) для непрерывных переменных и значений частот и процентных долей - для категориальных данных. </w:t>
      </w:r>
      <w:r w:rsidRPr="00761019">
        <w:rPr>
          <w:rFonts w:ascii="Times New Roman" w:hAnsi="Times New Roman"/>
          <w:sz w:val="24"/>
          <w:szCs w:val="24"/>
        </w:rPr>
        <w:t xml:space="preserve">Значения </w:t>
      </w:r>
      <w:proofErr w:type="gramStart"/>
      <w:r w:rsidRPr="00761019">
        <w:rPr>
          <w:rFonts w:ascii="Times New Roman" w:hAnsi="Times New Roman"/>
          <w:sz w:val="24"/>
          <w:szCs w:val="24"/>
        </w:rPr>
        <w:t>Р</w:t>
      </w:r>
      <w:proofErr w:type="gramEnd"/>
      <w:r w:rsidRPr="00761019">
        <w:rPr>
          <w:rFonts w:ascii="Times New Roman" w:hAnsi="Times New Roman"/>
          <w:sz w:val="24"/>
          <w:szCs w:val="24"/>
        </w:rPr>
        <w:t xml:space="preserve"> для категориальных переменных были получены с помощью критерия χ</w:t>
      </w:r>
      <w:r w:rsidRPr="00761019">
        <w:rPr>
          <w:rFonts w:ascii="Times New Roman" w:hAnsi="Times New Roman"/>
          <w:sz w:val="24"/>
          <w:szCs w:val="24"/>
          <w:vertAlign w:val="superscript"/>
        </w:rPr>
        <w:t>2</w:t>
      </w:r>
      <w:r w:rsidRPr="00761019">
        <w:rPr>
          <w:rFonts w:ascii="Times New Roman" w:hAnsi="Times New Roman"/>
          <w:sz w:val="24"/>
          <w:szCs w:val="24"/>
        </w:rPr>
        <w:t>.</w:t>
      </w:r>
      <w:r w:rsidRPr="00761019">
        <w:rPr>
          <w:rStyle w:val="80"/>
          <w:sz w:val="24"/>
          <w:szCs w:val="24"/>
        </w:rPr>
        <w:t xml:space="preserve"> </w:t>
      </w:r>
      <w:r w:rsidRPr="00761019">
        <w:rPr>
          <w:rFonts w:ascii="Times New Roman" w:hAnsi="Times New Roman"/>
          <w:sz w:val="24"/>
          <w:szCs w:val="24"/>
        </w:rPr>
        <w:t xml:space="preserve">Для непрерывных переменных при нормальном распределении использовали t-критерий Стьюдента, а для данных, не соответствующих нормальному распределению, - непараметрические критерии </w:t>
      </w:r>
      <w:proofErr w:type="spellStart"/>
      <w:r w:rsidRPr="00761019">
        <w:rPr>
          <w:rFonts w:ascii="Times New Roman" w:hAnsi="Times New Roman"/>
          <w:sz w:val="24"/>
          <w:szCs w:val="24"/>
        </w:rPr>
        <w:t>Уилкоксона</w:t>
      </w:r>
      <w:proofErr w:type="spellEnd"/>
      <w:r w:rsidRPr="00761019">
        <w:rPr>
          <w:rFonts w:ascii="Times New Roman" w:hAnsi="Times New Roman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Изученные показатели эффективности включали первичный составной показатель частоты смерти/инфаркта миокарда (ИМ) / рецидива ишемии, требующего экстренной </w:t>
      </w:r>
      <w:proofErr w:type="spellStart"/>
      <w:r w:rsidRPr="00761019">
        <w:rPr>
          <w:rStyle w:val="80"/>
          <w:sz w:val="24"/>
          <w:szCs w:val="24"/>
        </w:rPr>
        <w:t>реваскуляризации</w:t>
      </w:r>
      <w:proofErr w:type="spellEnd"/>
      <w:r w:rsidRPr="00761019">
        <w:rPr>
          <w:rStyle w:val="80"/>
          <w:sz w:val="24"/>
          <w:szCs w:val="24"/>
        </w:rPr>
        <w:t xml:space="preserve"> (РИЭР) / применения </w:t>
      </w:r>
      <w:proofErr w:type="spellStart"/>
      <w:r w:rsidRPr="00761019">
        <w:rPr>
          <w:rStyle w:val="80"/>
          <w:sz w:val="24"/>
          <w:szCs w:val="24"/>
        </w:rPr>
        <w:t>антитромботической</w:t>
      </w:r>
      <w:proofErr w:type="spellEnd"/>
      <w:r w:rsidRPr="00761019">
        <w:rPr>
          <w:rStyle w:val="80"/>
          <w:sz w:val="24"/>
          <w:szCs w:val="24"/>
        </w:rPr>
        <w:t xml:space="preserve"> терапии спасения (</w:t>
      </w:r>
      <w:proofErr w:type="spellStart"/>
      <w:r w:rsidRPr="00761019">
        <w:rPr>
          <w:rStyle w:val="80"/>
          <w:sz w:val="24"/>
          <w:szCs w:val="24"/>
        </w:rPr>
        <w:t>thrombotic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bailout</w:t>
      </w:r>
      <w:proofErr w:type="spellEnd"/>
      <w:r w:rsidRPr="00761019">
        <w:rPr>
          <w:rStyle w:val="80"/>
          <w:sz w:val="24"/>
          <w:szCs w:val="24"/>
        </w:rPr>
        <w:t xml:space="preserve"> - TBO) в течение 96 часов, и дополнительный критерий - смерть или ИМ в течение 30 дней. К анализируем</w:t>
      </w:r>
      <w:r w:rsidR="00B670C4">
        <w:rPr>
          <w:rStyle w:val="80"/>
          <w:sz w:val="24"/>
          <w:szCs w:val="24"/>
        </w:rPr>
        <w:t>ым</w:t>
      </w:r>
      <w:r w:rsidRPr="00761019">
        <w:rPr>
          <w:rStyle w:val="80"/>
          <w:sz w:val="24"/>
          <w:szCs w:val="24"/>
        </w:rPr>
        <w:t xml:space="preserve"> параметрам безопасности относились серьезное </w:t>
      </w:r>
      <w:proofErr w:type="spellStart"/>
      <w:r w:rsidRPr="00761019">
        <w:rPr>
          <w:rStyle w:val="80"/>
          <w:sz w:val="24"/>
          <w:szCs w:val="24"/>
        </w:rPr>
        <w:t>внутригоспитальное</w:t>
      </w:r>
      <w:proofErr w:type="spellEnd"/>
      <w:r w:rsidRPr="00761019">
        <w:rPr>
          <w:rStyle w:val="80"/>
          <w:sz w:val="24"/>
          <w:szCs w:val="24"/>
        </w:rPr>
        <w:t xml:space="preserve"> кровотечение (по классификации TIMI), тяжелое кровотечение /трансфузия по классификации GUSTO (Глобальное использование </w:t>
      </w:r>
      <w:proofErr w:type="spellStart"/>
      <w:r w:rsidRPr="00761019">
        <w:rPr>
          <w:rStyle w:val="80"/>
          <w:sz w:val="24"/>
          <w:szCs w:val="24"/>
        </w:rPr>
        <w:t>стрептокиназы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r w:rsidRPr="00761019">
        <w:rPr>
          <w:rStyle w:val="80"/>
          <w:sz w:val="24"/>
          <w:szCs w:val="24"/>
        </w:rPr>
        <w:lastRenderedPageBreak/>
        <w:t xml:space="preserve">тканевого активатора </w:t>
      </w:r>
      <w:proofErr w:type="spellStart"/>
      <w:r w:rsidRPr="00761019">
        <w:rPr>
          <w:rStyle w:val="80"/>
          <w:sz w:val="24"/>
          <w:szCs w:val="24"/>
        </w:rPr>
        <w:t>плазминогена</w:t>
      </w:r>
      <w:proofErr w:type="spellEnd"/>
      <w:r w:rsidRPr="00761019">
        <w:rPr>
          <w:rStyle w:val="80"/>
          <w:sz w:val="24"/>
          <w:szCs w:val="24"/>
        </w:rPr>
        <w:t xml:space="preserve"> при окклюзии коронарных артерий - </w:t>
      </w:r>
      <w:proofErr w:type="spellStart"/>
      <w:r w:rsidRPr="00761019">
        <w:rPr>
          <w:rStyle w:val="80"/>
          <w:sz w:val="24"/>
          <w:szCs w:val="24"/>
        </w:rPr>
        <w:t>Global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Utilization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of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Streptokinase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and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Tissue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plasminogen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activator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Occluded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coronary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arteries</w:t>
      </w:r>
      <w:proofErr w:type="spellEnd"/>
      <w:r w:rsidRPr="00761019">
        <w:rPr>
          <w:rStyle w:val="80"/>
          <w:sz w:val="24"/>
          <w:szCs w:val="24"/>
        </w:rPr>
        <w:t xml:space="preserve">) и только гемотрансфузия. Анализируемые критерии были определены в основном исследовании и приняты Комитетом по нежелательным явлениям. При сравнении частоты событий между группами с ранним применением </w:t>
      </w:r>
      <w:proofErr w:type="spellStart"/>
      <w:r w:rsidRPr="00761019">
        <w:rPr>
          <w:rStyle w:val="80"/>
          <w:sz w:val="24"/>
          <w:szCs w:val="24"/>
        </w:rPr>
        <w:t>эптифибатида</w:t>
      </w:r>
      <w:proofErr w:type="spellEnd"/>
      <w:r w:rsidRPr="00761019">
        <w:rPr>
          <w:rStyle w:val="80"/>
          <w:sz w:val="24"/>
          <w:szCs w:val="24"/>
        </w:rPr>
        <w:t xml:space="preserve"> и с отсроченным выборочным применением </w:t>
      </w:r>
      <w:proofErr w:type="spellStart"/>
      <w:r w:rsidRPr="00761019">
        <w:rPr>
          <w:rStyle w:val="80"/>
          <w:sz w:val="24"/>
          <w:szCs w:val="24"/>
        </w:rPr>
        <w:t>эптифибатида</w:t>
      </w:r>
      <w:proofErr w:type="spellEnd"/>
      <w:r w:rsidRPr="00761019">
        <w:rPr>
          <w:rStyle w:val="80"/>
          <w:sz w:val="24"/>
          <w:szCs w:val="24"/>
        </w:rPr>
        <w:t xml:space="preserve"> для анализа каждого из показателей эффективности и безопасности использовалась стратификация, основанная на применении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>. Была определена фактическая частота событий, и при помощи метода Каплана-Мейера построены кривые «время до события».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Несмотря на то, что намерение применить </w:t>
      </w:r>
      <w:proofErr w:type="spellStart"/>
      <w:r w:rsidRPr="00761019">
        <w:rPr>
          <w:rStyle w:val="80"/>
          <w:sz w:val="24"/>
          <w:szCs w:val="24"/>
        </w:rPr>
        <w:t>клопидогрель</w:t>
      </w:r>
      <w:proofErr w:type="spellEnd"/>
      <w:r w:rsidRPr="00761019">
        <w:rPr>
          <w:rStyle w:val="80"/>
          <w:sz w:val="24"/>
          <w:szCs w:val="24"/>
        </w:rPr>
        <w:t xml:space="preserve"> в опережающем режиме было частью схемы стратифицированной рандомизации, настоящий анализ сосредоточивался на пациентах, проходящих </w:t>
      </w:r>
      <w:proofErr w:type="spellStart"/>
      <w:r w:rsidRPr="00761019">
        <w:rPr>
          <w:rStyle w:val="80"/>
          <w:sz w:val="24"/>
          <w:szCs w:val="24"/>
        </w:rPr>
        <w:t>коронароангиографию</w:t>
      </w:r>
      <w:proofErr w:type="spellEnd"/>
      <w:r w:rsidRPr="00761019">
        <w:rPr>
          <w:rStyle w:val="80"/>
          <w:sz w:val="24"/>
          <w:szCs w:val="24"/>
        </w:rPr>
        <w:t xml:space="preserve">, и включал в себя также фактическое опережающее использование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. Таким образом, для оценки скорректированного сравнения между группами раннего применения </w:t>
      </w:r>
      <w:proofErr w:type="spellStart"/>
      <w:r w:rsidRPr="00761019">
        <w:rPr>
          <w:rStyle w:val="80"/>
          <w:sz w:val="24"/>
          <w:szCs w:val="24"/>
        </w:rPr>
        <w:t>эптифибатида</w:t>
      </w:r>
      <w:proofErr w:type="spellEnd"/>
      <w:r w:rsidRPr="00761019">
        <w:rPr>
          <w:rStyle w:val="80"/>
          <w:sz w:val="24"/>
          <w:szCs w:val="24"/>
        </w:rPr>
        <w:t xml:space="preserve"> и отсроченного выборочного применения </w:t>
      </w:r>
      <w:proofErr w:type="spellStart"/>
      <w:r w:rsidRPr="00761019">
        <w:rPr>
          <w:rStyle w:val="80"/>
          <w:sz w:val="24"/>
          <w:szCs w:val="24"/>
        </w:rPr>
        <w:t>эптифибатида</w:t>
      </w:r>
      <w:proofErr w:type="spellEnd"/>
      <w:r w:rsidRPr="00761019">
        <w:rPr>
          <w:rStyle w:val="80"/>
          <w:sz w:val="24"/>
          <w:szCs w:val="24"/>
        </w:rPr>
        <w:t xml:space="preserve"> в связи с ишемическими событиями и эпизодами кровотечения в зависимости от подгруппы применения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gramStart"/>
      <w:r w:rsidRPr="00761019">
        <w:rPr>
          <w:rStyle w:val="80"/>
          <w:sz w:val="24"/>
          <w:szCs w:val="24"/>
        </w:rPr>
        <w:t>опережающее</w:t>
      </w:r>
      <w:proofErr w:type="gramEnd"/>
      <w:r w:rsidRPr="00761019">
        <w:rPr>
          <w:rStyle w:val="80"/>
          <w:sz w:val="24"/>
          <w:szCs w:val="24"/>
        </w:rPr>
        <w:t xml:space="preserve"> или </w:t>
      </w:r>
      <w:proofErr w:type="spellStart"/>
      <w:r w:rsidRPr="00761019">
        <w:rPr>
          <w:rStyle w:val="80"/>
          <w:sz w:val="24"/>
          <w:szCs w:val="24"/>
        </w:rPr>
        <w:t>неопережающее</w:t>
      </w:r>
      <w:proofErr w:type="spellEnd"/>
      <w:r w:rsidRPr="00761019">
        <w:rPr>
          <w:rStyle w:val="80"/>
          <w:sz w:val="24"/>
          <w:szCs w:val="24"/>
        </w:rPr>
        <w:t xml:space="preserve">) использовались модели многофакторной логистической регрессии. Эти модели были использованы повторно для сравнения заявленного намерения или фактического применения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. Модели для коррекции были разработаны независимо для каждого из анализируемых критериев в рамках совокупности данных исследования EARLY ACS с использованием всех имеющихся исходных характеристик. Значимые параметры определяли с помощью </w:t>
      </w:r>
      <w:proofErr w:type="spellStart"/>
      <w:r w:rsidRPr="00761019">
        <w:rPr>
          <w:rStyle w:val="80"/>
          <w:sz w:val="24"/>
          <w:szCs w:val="24"/>
        </w:rPr>
        <w:t>бутстр</w:t>
      </w:r>
      <w:r>
        <w:rPr>
          <w:rStyle w:val="80"/>
          <w:sz w:val="24"/>
          <w:szCs w:val="24"/>
        </w:rPr>
        <w:t>э</w:t>
      </w:r>
      <w:r w:rsidRPr="00761019">
        <w:rPr>
          <w:rStyle w:val="80"/>
          <w:sz w:val="24"/>
          <w:szCs w:val="24"/>
        </w:rPr>
        <w:t>ппинга</w:t>
      </w:r>
      <w:proofErr w:type="spellEnd"/>
      <w:r w:rsidRPr="00761019">
        <w:rPr>
          <w:rStyle w:val="80"/>
          <w:sz w:val="24"/>
          <w:szCs w:val="24"/>
        </w:rPr>
        <w:t xml:space="preserve"> и пошагового выбора. </w:t>
      </w:r>
      <w:proofErr w:type="gramStart"/>
      <w:r w:rsidRPr="00761019">
        <w:rPr>
          <w:rStyle w:val="80"/>
          <w:sz w:val="24"/>
          <w:szCs w:val="24"/>
        </w:rPr>
        <w:t xml:space="preserve">Перечень </w:t>
      </w:r>
      <w:proofErr w:type="spellStart"/>
      <w:r w:rsidRPr="00761019">
        <w:rPr>
          <w:rStyle w:val="80"/>
          <w:sz w:val="24"/>
          <w:szCs w:val="24"/>
        </w:rPr>
        <w:t>ковариат</w:t>
      </w:r>
      <w:proofErr w:type="spellEnd"/>
      <w:r w:rsidRPr="00761019">
        <w:rPr>
          <w:rStyle w:val="80"/>
          <w:sz w:val="24"/>
          <w:szCs w:val="24"/>
        </w:rPr>
        <w:t>, использованных при коррекции каждого анализируемого критерия, приведен в примечаниях к рисункам 1 и 3.</w:t>
      </w:r>
      <w:proofErr w:type="gramEnd"/>
      <w:r w:rsidRPr="00761019">
        <w:rPr>
          <w:rStyle w:val="80"/>
          <w:sz w:val="24"/>
          <w:szCs w:val="24"/>
        </w:rPr>
        <w:t xml:space="preserve"> В каждую модель был включен параметр опережающего применения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по взаимодействию с исследуемым препаратом, для того чтобы изучить влияние взаимодействия между опережающим применением </w:t>
      </w:r>
      <w:proofErr w:type="spellStart"/>
      <w:r w:rsidRPr="00761019">
        <w:rPr>
          <w:rStyle w:val="80"/>
          <w:sz w:val="24"/>
          <w:szCs w:val="24"/>
        </w:rPr>
        <w:t>клопидогреля</w:t>
      </w:r>
      <w:proofErr w:type="spellEnd"/>
      <w:r w:rsidRPr="00761019">
        <w:rPr>
          <w:rStyle w:val="80"/>
          <w:sz w:val="24"/>
          <w:szCs w:val="24"/>
        </w:rPr>
        <w:t xml:space="preserve"> и лечением на эти клинические исходы.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Fonts w:ascii="Times New Roman" w:hAnsi="Times New Roman"/>
          <w:sz w:val="24"/>
          <w:szCs w:val="24"/>
        </w:rPr>
        <w:t>Значения P</w:t>
      </w:r>
      <w:r w:rsidR="00B670C4">
        <w:rPr>
          <w:rFonts w:ascii="Times New Roman" w:hAnsi="Times New Roman"/>
          <w:sz w:val="24"/>
          <w:szCs w:val="24"/>
        </w:rPr>
        <w:t xml:space="preserve"> </w:t>
      </w:r>
      <w:r w:rsidRPr="00761019">
        <w:rPr>
          <w:rFonts w:ascii="Times New Roman" w:hAnsi="Times New Roman"/>
          <w:sz w:val="24"/>
          <w:szCs w:val="24"/>
        </w:rPr>
        <w:t>≤</w:t>
      </w:r>
      <w:r w:rsidR="00B670C4">
        <w:rPr>
          <w:rFonts w:ascii="Times New Roman" w:hAnsi="Times New Roman"/>
          <w:sz w:val="24"/>
          <w:szCs w:val="24"/>
        </w:rPr>
        <w:t xml:space="preserve"> </w:t>
      </w:r>
      <w:r w:rsidRPr="00761019">
        <w:rPr>
          <w:rFonts w:ascii="Times New Roman" w:hAnsi="Times New Roman"/>
          <w:sz w:val="24"/>
          <w:szCs w:val="24"/>
        </w:rPr>
        <w:t>0,05 считались статистически значимыми для всех тестов.</w:t>
      </w:r>
      <w:r w:rsidRPr="00761019">
        <w:rPr>
          <w:rStyle w:val="80"/>
          <w:sz w:val="24"/>
          <w:szCs w:val="24"/>
        </w:rPr>
        <w:t xml:space="preserve"> Поправка на множественные сравнения не проводилась. Все анализы проводили с использованием программы SAS® в версии 9.1 (SAS </w:t>
      </w:r>
      <w:proofErr w:type="spellStart"/>
      <w:r w:rsidRPr="00761019">
        <w:rPr>
          <w:rStyle w:val="80"/>
          <w:sz w:val="24"/>
          <w:szCs w:val="24"/>
        </w:rPr>
        <w:t>Institute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Кэри</w:t>
      </w:r>
      <w:proofErr w:type="spellEnd"/>
      <w:r w:rsidRPr="00761019">
        <w:rPr>
          <w:rStyle w:val="80"/>
          <w:sz w:val="24"/>
          <w:szCs w:val="24"/>
        </w:rPr>
        <w:t>, Северная Каролина). Все пациенты дали информированное согласие на участие в исследовании EARLY ACS. Анализ базы данных EARLY ACS был одобрен экспертным советом университета Дьюка.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Таблица 1. Заявленное намерение опережающего применения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клопидогреля</w:t>
      </w:r>
      <w:proofErr w:type="spellEnd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 против фактического опережающего применения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1789"/>
        <w:gridCol w:w="1789"/>
        <w:gridCol w:w="1789"/>
        <w:gridCol w:w="1790"/>
      </w:tblGrid>
      <w:tr w:rsidR="008F1F16" w:rsidRPr="00ED2DAB" w:rsidTr="00B670C4">
        <w:trPr>
          <w:trHeight w:val="57"/>
        </w:trPr>
        <w:tc>
          <w:tcPr>
            <w:tcW w:w="2178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left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Фактическое опережающее применение </w:t>
            </w:r>
            <w:proofErr w:type="spellStart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клопидогреля</w:t>
            </w:r>
            <w:proofErr w:type="spellEnd"/>
          </w:p>
        </w:tc>
        <w:tc>
          <w:tcPr>
            <w:tcW w:w="1789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Фактическое отсутствие опережающего применения </w:t>
            </w:r>
            <w:proofErr w:type="spellStart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клопидогреля</w:t>
            </w:r>
            <w:proofErr w:type="spellEnd"/>
          </w:p>
        </w:tc>
        <w:tc>
          <w:tcPr>
            <w:tcW w:w="1789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данных о применении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/времени применения </w:t>
            </w:r>
            <w:proofErr w:type="spellStart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клопидогреля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Итог по строке, n (%)</w:t>
            </w:r>
          </w:p>
        </w:tc>
      </w:tr>
      <w:tr w:rsidR="008F1F16" w:rsidRPr="00ED2DAB" w:rsidTr="0095512B">
        <w:trPr>
          <w:trHeight w:val="57"/>
        </w:trPr>
        <w:tc>
          <w:tcPr>
            <w:tcW w:w="2178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Заявленное намерение использовать </w:t>
            </w:r>
            <w:proofErr w:type="spellStart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клопидогрель</w:t>
            </w:r>
            <w:proofErr w:type="spellEnd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опережающем режиме, n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6895 (75,2)</w:t>
            </w:r>
          </w:p>
        </w:tc>
      </w:tr>
      <w:tr w:rsidR="008F1F16" w:rsidRPr="00ED2DAB" w:rsidTr="0095512B">
        <w:trPr>
          <w:trHeight w:val="57"/>
        </w:trPr>
        <w:tc>
          <w:tcPr>
            <w:tcW w:w="2178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Заявленное намерение не использовать </w:t>
            </w:r>
            <w:proofErr w:type="spellStart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клопидогрель</w:t>
            </w:r>
            <w:proofErr w:type="spellEnd"/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опережающем режиме, n</w:t>
            </w:r>
          </w:p>
        </w:tc>
        <w:tc>
          <w:tcPr>
            <w:tcW w:w="1789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89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789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0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2271 (24,8)</w:t>
            </w:r>
          </w:p>
        </w:tc>
      </w:tr>
      <w:tr w:rsidR="008F1F16" w:rsidRPr="00ED2DAB" w:rsidTr="0095512B">
        <w:trPr>
          <w:trHeight w:val="57"/>
        </w:trPr>
        <w:tc>
          <w:tcPr>
            <w:tcW w:w="2178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Итог по столбцу, n (%)</w:t>
            </w:r>
          </w:p>
        </w:tc>
        <w:tc>
          <w:tcPr>
            <w:tcW w:w="1789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7068 (77,1)</w:t>
            </w:r>
          </w:p>
        </w:tc>
        <w:tc>
          <w:tcPr>
            <w:tcW w:w="1789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2064 (22,5)</w:t>
            </w:r>
          </w:p>
        </w:tc>
        <w:tc>
          <w:tcPr>
            <w:tcW w:w="1789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34 (0,4)</w:t>
            </w:r>
          </w:p>
        </w:tc>
        <w:tc>
          <w:tcPr>
            <w:tcW w:w="1790" w:type="dxa"/>
            <w:shd w:val="clear" w:color="auto" w:fill="FFFFFF"/>
          </w:tcPr>
          <w:p w:rsidR="008F1F16" w:rsidRPr="00ED2DAB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DAB">
              <w:rPr>
                <w:rFonts w:ascii="Times New Roman" w:hAnsi="Times New Roman"/>
                <w:color w:val="000000"/>
                <w:sz w:val="20"/>
                <w:szCs w:val="20"/>
              </w:rPr>
              <w:t>9166</w:t>
            </w:r>
          </w:p>
        </w:tc>
      </w:tr>
    </w:tbl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D620A5" w:rsidRDefault="008F1F16" w:rsidP="00FA1C57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42"/>
          <w:bCs/>
          <w:sz w:val="32"/>
          <w:szCs w:val="32"/>
        </w:rPr>
        <w:t>Результаты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A12ED1">
        <w:rPr>
          <w:rStyle w:val="2"/>
          <w:sz w:val="24"/>
          <w:szCs w:val="24"/>
        </w:rPr>
        <w:t xml:space="preserve">Из 9406 пациентов с доступными для оценки данными, включенных в исследование EARLY ACS, у 9166 (97,4%) на протяжении индексной госпитализации была проведена коронарная ангиография с медианой 21,4 часа (16,8; 32,7) после рандомизации. Намерение использовать </w:t>
      </w:r>
      <w:proofErr w:type="spellStart"/>
      <w:r w:rsidRPr="00A12ED1">
        <w:rPr>
          <w:rStyle w:val="2"/>
          <w:sz w:val="24"/>
          <w:szCs w:val="24"/>
        </w:rPr>
        <w:t>клопидогрель</w:t>
      </w:r>
      <w:proofErr w:type="spellEnd"/>
      <w:r w:rsidRPr="00A12ED1">
        <w:rPr>
          <w:rStyle w:val="2"/>
          <w:sz w:val="24"/>
          <w:szCs w:val="24"/>
        </w:rPr>
        <w:t xml:space="preserve"> в опережающем режиме было заявлено у 6895 пациентов (75,2%) на момент рандомизации; у 2271 (</w:t>
      </w:r>
      <w:proofErr w:type="gramStart"/>
      <w:r w:rsidRPr="00A12ED1">
        <w:rPr>
          <w:rStyle w:val="2"/>
          <w:sz w:val="24"/>
          <w:szCs w:val="24"/>
        </w:rPr>
        <w:t>24,8%) ис</w:t>
      </w:r>
      <w:proofErr w:type="gramEnd"/>
      <w:r w:rsidRPr="00A12ED1">
        <w:rPr>
          <w:rStyle w:val="2"/>
          <w:sz w:val="24"/>
          <w:szCs w:val="24"/>
        </w:rPr>
        <w:t xml:space="preserve">следователь заявил о намерении не использовать опережающую терапию </w:t>
      </w:r>
      <w:proofErr w:type="spellStart"/>
      <w:r w:rsidRPr="00A12ED1">
        <w:rPr>
          <w:rStyle w:val="2"/>
          <w:sz w:val="24"/>
          <w:szCs w:val="24"/>
        </w:rPr>
        <w:t>клопидогрелем</w:t>
      </w:r>
      <w:proofErr w:type="spellEnd"/>
      <w:r w:rsidRPr="00A12ED1">
        <w:rPr>
          <w:rStyle w:val="2"/>
          <w:sz w:val="24"/>
          <w:szCs w:val="24"/>
        </w:rPr>
        <w:t xml:space="preserve">. В общей сложности 7068 пациентов фактически получали опережающую терапию </w:t>
      </w:r>
      <w:proofErr w:type="spellStart"/>
      <w:r w:rsidRPr="00A12ED1">
        <w:rPr>
          <w:rStyle w:val="2"/>
          <w:sz w:val="24"/>
          <w:szCs w:val="24"/>
        </w:rPr>
        <w:t>клопидогрелем</w:t>
      </w:r>
      <w:proofErr w:type="spellEnd"/>
      <w:r w:rsidRPr="00A12ED1">
        <w:rPr>
          <w:rStyle w:val="2"/>
          <w:sz w:val="24"/>
          <w:szCs w:val="24"/>
        </w:rPr>
        <w:t xml:space="preserve"> (5592 до рандомизации, 1476 после рандомизации, 251 - менее чем за 12 часов до катетеризации). В общей сложности 1223 пациента начали применение </w:t>
      </w:r>
      <w:proofErr w:type="spellStart"/>
      <w:r w:rsidRPr="00A12ED1">
        <w:rPr>
          <w:rStyle w:val="2"/>
          <w:sz w:val="24"/>
          <w:szCs w:val="24"/>
        </w:rPr>
        <w:t>клопидогреля</w:t>
      </w:r>
      <w:proofErr w:type="spellEnd"/>
      <w:r w:rsidRPr="00A12ED1">
        <w:rPr>
          <w:rStyle w:val="2"/>
          <w:sz w:val="24"/>
          <w:szCs w:val="24"/>
        </w:rPr>
        <w:t xml:space="preserve"> после ангиографии, а 841 пациент вообще не получал </w:t>
      </w:r>
      <w:proofErr w:type="spellStart"/>
      <w:r w:rsidRPr="00A12ED1">
        <w:rPr>
          <w:rStyle w:val="2"/>
          <w:sz w:val="24"/>
          <w:szCs w:val="24"/>
        </w:rPr>
        <w:t>клопидогрель</w:t>
      </w:r>
      <w:proofErr w:type="spellEnd"/>
      <w:r w:rsidRPr="00A12ED1">
        <w:rPr>
          <w:rStyle w:val="2"/>
          <w:sz w:val="24"/>
          <w:szCs w:val="24"/>
        </w:rPr>
        <w:t xml:space="preserve">. В таблице 1 представлено сравнение заявленного исследователем намерения применить опережающую терапию </w:t>
      </w:r>
      <w:proofErr w:type="spellStart"/>
      <w:r w:rsidRPr="00A12ED1">
        <w:rPr>
          <w:rStyle w:val="2"/>
          <w:sz w:val="24"/>
          <w:szCs w:val="24"/>
        </w:rPr>
        <w:t>клопидогрелем</w:t>
      </w:r>
      <w:proofErr w:type="spellEnd"/>
      <w:r w:rsidRPr="00A12ED1">
        <w:rPr>
          <w:rStyle w:val="2"/>
          <w:sz w:val="24"/>
          <w:szCs w:val="24"/>
        </w:rPr>
        <w:t xml:space="preserve"> и фактического использования </w:t>
      </w:r>
      <w:proofErr w:type="spellStart"/>
      <w:r w:rsidRPr="00A12ED1">
        <w:rPr>
          <w:rStyle w:val="2"/>
          <w:sz w:val="24"/>
          <w:szCs w:val="24"/>
        </w:rPr>
        <w:t>клопидогреля</w:t>
      </w:r>
      <w:proofErr w:type="spellEnd"/>
      <w:r w:rsidRPr="00A12ED1">
        <w:rPr>
          <w:rStyle w:val="2"/>
          <w:sz w:val="24"/>
          <w:szCs w:val="24"/>
        </w:rPr>
        <w:t xml:space="preserve"> в каждой страте с заявленным намерением. Среди пациентов, у которых было заявлено о намерении использовать опережающую терапию </w:t>
      </w:r>
      <w:proofErr w:type="spellStart"/>
      <w:r w:rsidRPr="00A12ED1">
        <w:rPr>
          <w:rStyle w:val="2"/>
          <w:sz w:val="24"/>
          <w:szCs w:val="24"/>
        </w:rPr>
        <w:t>клопидогрелем</w:t>
      </w:r>
      <w:proofErr w:type="spellEnd"/>
      <w:r w:rsidRPr="00A12ED1">
        <w:rPr>
          <w:rStyle w:val="2"/>
          <w:sz w:val="24"/>
          <w:szCs w:val="24"/>
        </w:rPr>
        <w:t xml:space="preserve">, 208 пациентов (3%) не получали опережающую терапию </w:t>
      </w:r>
      <w:proofErr w:type="spellStart"/>
      <w:r w:rsidRPr="00A12ED1">
        <w:rPr>
          <w:rStyle w:val="2"/>
          <w:sz w:val="24"/>
          <w:szCs w:val="24"/>
        </w:rPr>
        <w:t>клопидогрелем</w:t>
      </w:r>
      <w:proofErr w:type="spellEnd"/>
      <w:r w:rsidRPr="00A12ED1">
        <w:rPr>
          <w:rStyle w:val="2"/>
          <w:sz w:val="24"/>
          <w:szCs w:val="24"/>
        </w:rPr>
        <w:t xml:space="preserve">, а среди пациентов, у которых было заявлено о намерении не использовать опережающую терапию </w:t>
      </w:r>
      <w:proofErr w:type="spellStart"/>
      <w:r w:rsidRPr="00A12ED1">
        <w:rPr>
          <w:rStyle w:val="2"/>
          <w:sz w:val="24"/>
          <w:szCs w:val="24"/>
        </w:rPr>
        <w:t>клопидогрелем</w:t>
      </w:r>
      <w:proofErr w:type="spellEnd"/>
      <w:r w:rsidRPr="00A12ED1">
        <w:rPr>
          <w:rStyle w:val="2"/>
          <w:sz w:val="24"/>
          <w:szCs w:val="24"/>
        </w:rPr>
        <w:t xml:space="preserve">, 400 (18%) в действительности получали </w:t>
      </w:r>
      <w:proofErr w:type="spellStart"/>
      <w:r w:rsidRPr="00A12ED1">
        <w:rPr>
          <w:rStyle w:val="2"/>
          <w:sz w:val="24"/>
          <w:szCs w:val="24"/>
        </w:rPr>
        <w:t>клопидогрель</w:t>
      </w:r>
      <w:proofErr w:type="spellEnd"/>
      <w:r w:rsidRPr="00A12ED1">
        <w:rPr>
          <w:rStyle w:val="2"/>
          <w:sz w:val="24"/>
          <w:szCs w:val="24"/>
        </w:rPr>
        <w:t xml:space="preserve"> до ангиографии.</w:t>
      </w:r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Среди пациентов, получавших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в опережающем режиме, 16,1% (n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=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1023) получали нагрузочную дозу 600 мг, 72,7% (n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=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4613) - нагрузочную дозу 300 мг, 11,2% (n</w:t>
      </w:r>
      <w:r w:rsidR="00B670C4">
        <w:rPr>
          <w:rStyle w:val="2"/>
          <w:sz w:val="24"/>
          <w:szCs w:val="24"/>
        </w:rPr>
        <w:t> </w:t>
      </w:r>
      <w:r w:rsidRPr="00761019">
        <w:rPr>
          <w:rStyle w:val="2"/>
          <w:sz w:val="24"/>
          <w:szCs w:val="24"/>
        </w:rPr>
        <w:t>=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 xml:space="preserve">712) не получали нагрузочную дозу. Среди пациентов, у которых лечение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было начато после рандомизации, медиана времени от рандомизации до назначения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составила 0,80 часа (0,27; 3,17), а медиана времени от первой дозы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до катетеризации сердца была равна 19,7 часа (от 14,5 до 29,0).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3"/>
          <w:bCs/>
          <w:sz w:val="24"/>
          <w:szCs w:val="24"/>
        </w:rPr>
        <w:t>Клинические характеристики и лечение в стационаре</w:t>
      </w:r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Характеристики пациентов, относившихся к группам с намерением и без намерения проведения опережающего лечения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представлены в таблице 2. При намерении проведения опережающей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отмечалась </w:t>
      </w:r>
      <w:proofErr w:type="gramStart"/>
      <w:r w:rsidRPr="00761019">
        <w:rPr>
          <w:rStyle w:val="2"/>
          <w:sz w:val="24"/>
          <w:szCs w:val="24"/>
        </w:rPr>
        <w:t>существенная</w:t>
      </w:r>
      <w:proofErr w:type="gramEnd"/>
      <w:r w:rsidRPr="00761019">
        <w:rPr>
          <w:rStyle w:val="2"/>
          <w:sz w:val="24"/>
          <w:szCs w:val="24"/>
        </w:rPr>
        <w:t xml:space="preserve"> географическая гетерогенность: 51% среди пациентов, набранных в исследование в североамериканских центрах, в сравнении с 86% среди пациентов, набранных в центрах с другим географическим расположением (P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&lt;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 xml:space="preserve">0,001). Пациенты, у которых планировалось провести опережающую терапию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были несколько моложе, среди них чаще встречались мужчины, была ниже вероятность наличия сахарного диабета, гипертензии, </w:t>
      </w:r>
      <w:proofErr w:type="spellStart"/>
      <w:r w:rsidRPr="00761019">
        <w:rPr>
          <w:rStyle w:val="2"/>
          <w:sz w:val="24"/>
          <w:szCs w:val="24"/>
        </w:rPr>
        <w:t>дислипидемии</w:t>
      </w:r>
      <w:proofErr w:type="spellEnd"/>
      <w:r w:rsidRPr="00761019">
        <w:rPr>
          <w:rStyle w:val="2"/>
          <w:sz w:val="24"/>
          <w:szCs w:val="24"/>
        </w:rPr>
        <w:t>, ранее перенесенного ИМ, ранее перенесенного шунтирования коронарных артерий, нарушени</w:t>
      </w:r>
      <w:r>
        <w:rPr>
          <w:rStyle w:val="2"/>
          <w:sz w:val="24"/>
          <w:szCs w:val="24"/>
        </w:rPr>
        <w:t>я</w:t>
      </w:r>
      <w:r w:rsidRPr="00761019">
        <w:rPr>
          <w:rStyle w:val="2"/>
          <w:sz w:val="24"/>
          <w:szCs w:val="24"/>
        </w:rPr>
        <w:t xml:space="preserve"> функции почек, в то время как прочие клинические характеристики в группах были сходными. ЧКВ во время индексной госпитализации было проведено у 62,8% пациентов с планируемым опережающим применением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, в сравнении с 53,5% пациентов, у которых не планировали использовать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в опережающем режиме. Шунтирование коронарных артерий было выполнено у 11,6% и 18,8% пациентов в группах, где соответственно планировалось и не планировалось опережающее использование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3"/>
          <w:bCs/>
          <w:sz w:val="24"/>
          <w:szCs w:val="24"/>
        </w:rPr>
        <w:t xml:space="preserve">Ишемические эпизоды, стратегия лечения и опережающее применение </w:t>
      </w:r>
      <w:proofErr w:type="spellStart"/>
      <w:r w:rsidRPr="00761019">
        <w:rPr>
          <w:rStyle w:val="53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В когорте пациентов, подвергшихся коронарной ангиографии, которая была включена в наш анализ, результаты сравнения между группами с ранним и отсроченным выборочным применением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согласовались с результатами основного исследования. </w:t>
      </w:r>
      <w:r w:rsidRPr="00761019">
        <w:rPr>
          <w:rStyle w:val="2"/>
          <w:sz w:val="24"/>
          <w:szCs w:val="24"/>
        </w:rPr>
        <w:lastRenderedPageBreak/>
        <w:t xml:space="preserve">Главный оценочный показатель (смерть/ИМ/РИЭР/TBO в течение 96 часов) имел место у 9,2% пациентов, получавших раннюю терапию </w:t>
      </w:r>
      <w:proofErr w:type="spellStart"/>
      <w:r w:rsidRPr="00761019">
        <w:rPr>
          <w:rStyle w:val="2"/>
          <w:sz w:val="24"/>
          <w:szCs w:val="24"/>
        </w:rPr>
        <w:t>эптифибатидом</w:t>
      </w:r>
      <w:proofErr w:type="spellEnd"/>
      <w:r w:rsidRPr="00761019">
        <w:rPr>
          <w:rStyle w:val="2"/>
          <w:sz w:val="24"/>
          <w:szCs w:val="24"/>
        </w:rPr>
        <w:t>, и у 9</w:t>
      </w:r>
      <w:r>
        <w:rPr>
          <w:rStyle w:val="2"/>
          <w:sz w:val="24"/>
          <w:szCs w:val="24"/>
        </w:rPr>
        <w:t>,</w:t>
      </w:r>
      <w:r w:rsidRPr="00761019">
        <w:rPr>
          <w:rStyle w:val="2"/>
          <w:sz w:val="24"/>
          <w:szCs w:val="24"/>
        </w:rPr>
        <w:t xml:space="preserve">9% пациентов, которым проводилась отсроченная выборочная терапия (скорректированное отношение шансов [OR] 0,94; 95% доверительный интервал [ДИ] 0,81; 1,08), а вторичный оценочный показатель (смерть/ИМ в течение 30 дней) наблюдался у 10,9% пациентов </w:t>
      </w:r>
      <w:r>
        <w:rPr>
          <w:rStyle w:val="2"/>
          <w:sz w:val="24"/>
          <w:szCs w:val="24"/>
        </w:rPr>
        <w:t>в</w:t>
      </w:r>
      <w:r w:rsidRPr="00761019">
        <w:rPr>
          <w:rStyle w:val="2"/>
          <w:sz w:val="24"/>
          <w:szCs w:val="24"/>
        </w:rPr>
        <w:t xml:space="preserve"> сравнении с 12,1% соответственно (скор</w:t>
      </w:r>
      <w:r w:rsidR="00B670C4">
        <w:rPr>
          <w:rStyle w:val="2"/>
          <w:sz w:val="24"/>
          <w:szCs w:val="24"/>
        </w:rPr>
        <w:t>ректированное OR 0,90; 95% ДИ 0,</w:t>
      </w:r>
      <w:r w:rsidRPr="00761019">
        <w:rPr>
          <w:rStyle w:val="2"/>
          <w:sz w:val="24"/>
          <w:szCs w:val="24"/>
        </w:rPr>
        <w:t>79; 1,02).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Частота ишемических эпизодов в зависимости от </w:t>
      </w:r>
      <w:proofErr w:type="spellStart"/>
      <w:r w:rsidRPr="00761019">
        <w:rPr>
          <w:rStyle w:val="2"/>
          <w:sz w:val="24"/>
          <w:szCs w:val="24"/>
        </w:rPr>
        <w:t>рандомизационной</w:t>
      </w:r>
      <w:proofErr w:type="spellEnd"/>
      <w:r w:rsidRPr="00761019">
        <w:rPr>
          <w:rStyle w:val="2"/>
          <w:sz w:val="24"/>
          <w:szCs w:val="24"/>
        </w:rPr>
        <w:t xml:space="preserve"> группы лечения и в соответствии со стратами планируемого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представлены в таблице 3. </w:t>
      </w:r>
      <w:proofErr w:type="gramStart"/>
      <w:r w:rsidRPr="00761019">
        <w:rPr>
          <w:rStyle w:val="2"/>
          <w:sz w:val="24"/>
          <w:szCs w:val="24"/>
        </w:rPr>
        <w:t>Скорректированное</w:t>
      </w:r>
      <w:proofErr w:type="gramEnd"/>
      <w:r w:rsidRPr="00761019">
        <w:rPr>
          <w:rStyle w:val="2"/>
          <w:sz w:val="24"/>
          <w:szCs w:val="24"/>
        </w:rPr>
        <w:t xml:space="preserve"> OR и 95% ДИ для сравнения раннего и отсроченного выборочного применения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в соответствии со стратами планируемого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показаны на рисунке 1. </w:t>
      </w:r>
      <w:proofErr w:type="gramStart"/>
      <w:r w:rsidRPr="00761019">
        <w:rPr>
          <w:rStyle w:val="2"/>
          <w:sz w:val="24"/>
          <w:szCs w:val="24"/>
        </w:rPr>
        <w:t xml:space="preserve">После внесения поправок на клинические характеристики раннее применение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в сравнении с отсроченной выборочной стратегией не сопровождалось статистически значимым снижением риска смерти/ИМ/РИЭР/ТВО в течение 96 часов ни у пациентов</w:t>
      </w:r>
      <w:r>
        <w:rPr>
          <w:rStyle w:val="2"/>
          <w:sz w:val="24"/>
          <w:szCs w:val="24"/>
        </w:rPr>
        <w:t>,</w:t>
      </w:r>
      <w:r w:rsidRPr="00761019">
        <w:rPr>
          <w:rStyle w:val="2"/>
          <w:sz w:val="24"/>
          <w:szCs w:val="24"/>
        </w:rPr>
        <w:t xml:space="preserve"> у которых планировалось опережающее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(скорректированное OR 0,93; 95% ДИ 0,79; 1,10), ни у пациентов, у которых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не планировалось (скорректированное OR 0,94;</w:t>
      </w:r>
      <w:proofErr w:type="gramEnd"/>
      <w:r w:rsidRPr="00761019">
        <w:rPr>
          <w:rStyle w:val="2"/>
          <w:sz w:val="24"/>
          <w:szCs w:val="24"/>
        </w:rPr>
        <w:t xml:space="preserve"> </w:t>
      </w:r>
      <w:proofErr w:type="gramStart"/>
      <w:r w:rsidRPr="00761019">
        <w:rPr>
          <w:rStyle w:val="2"/>
          <w:sz w:val="24"/>
          <w:szCs w:val="24"/>
        </w:rPr>
        <w:t>95% ДИ 0,72; 1,22).</w:t>
      </w:r>
      <w:proofErr w:type="gramEnd"/>
      <w:r w:rsidRPr="00761019">
        <w:rPr>
          <w:rStyle w:val="2"/>
          <w:sz w:val="24"/>
          <w:szCs w:val="24"/>
        </w:rPr>
        <w:t xml:space="preserve"> Показатель взаимодействия между стратами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и </w:t>
      </w:r>
      <w:proofErr w:type="spellStart"/>
      <w:r w:rsidRPr="00761019">
        <w:rPr>
          <w:rStyle w:val="2"/>
          <w:sz w:val="24"/>
          <w:szCs w:val="24"/>
        </w:rPr>
        <w:t>рандомизированным</w:t>
      </w:r>
      <w:proofErr w:type="spellEnd"/>
      <w:r w:rsidRPr="00761019">
        <w:rPr>
          <w:rStyle w:val="2"/>
          <w:sz w:val="24"/>
          <w:szCs w:val="24"/>
        </w:rPr>
        <w:t xml:space="preserve"> лечением не был значимым (</w:t>
      </w:r>
      <w:proofErr w:type="gramStart"/>
      <w:r w:rsidRPr="00761019">
        <w:rPr>
          <w:rStyle w:val="2"/>
          <w:sz w:val="24"/>
          <w:szCs w:val="24"/>
        </w:rPr>
        <w:t>Р</w:t>
      </w:r>
      <w:proofErr w:type="gramEnd"/>
      <w:r w:rsidR="00B670C4">
        <w:rPr>
          <w:rStyle w:val="2"/>
          <w:sz w:val="24"/>
          <w:szCs w:val="24"/>
        </w:rPr>
        <w:t> </w:t>
      </w:r>
      <w:r w:rsidRPr="00761019">
        <w:rPr>
          <w:rStyle w:val="2"/>
          <w:sz w:val="24"/>
          <w:szCs w:val="24"/>
        </w:rPr>
        <w:t>=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0,99).</w:t>
      </w:r>
    </w:p>
    <w:p w:rsidR="008F1F16" w:rsidRPr="00761019" w:rsidRDefault="008F1F16" w:rsidP="00FA1C57">
      <w:pPr>
        <w:rPr>
          <w:rStyle w:val="2"/>
          <w:sz w:val="24"/>
          <w:szCs w:val="24"/>
        </w:rPr>
      </w:pPr>
      <w:proofErr w:type="gramStart"/>
      <w:r w:rsidRPr="00761019">
        <w:rPr>
          <w:rStyle w:val="2"/>
          <w:sz w:val="24"/>
          <w:szCs w:val="24"/>
        </w:rPr>
        <w:t xml:space="preserve">У пациентов, </w:t>
      </w:r>
      <w:proofErr w:type="spellStart"/>
      <w:r w:rsidRPr="00761019">
        <w:rPr>
          <w:rStyle w:val="2"/>
          <w:sz w:val="24"/>
          <w:szCs w:val="24"/>
        </w:rPr>
        <w:t>рандомизированных</w:t>
      </w:r>
      <w:proofErr w:type="spellEnd"/>
      <w:r w:rsidRPr="00761019">
        <w:rPr>
          <w:rStyle w:val="2"/>
          <w:sz w:val="24"/>
          <w:szCs w:val="24"/>
        </w:rPr>
        <w:t xml:space="preserve"> в группе раннего применения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, отмечалось значимое снижение риска смерти или ИМ в течение 30 дней, в сравнении с пациентами с отсроченным выборочным применением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в страте опережающего использования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(скорректированное OR 0,85; 95% ДИ 0,73-0,99), однако разница в степени риска у пациентов, которым назначение опережающей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не планировалось, отсутствовала (скорректированное OR 1,02;</w:t>
      </w:r>
      <w:proofErr w:type="gramEnd"/>
      <w:r w:rsidRPr="00761019">
        <w:rPr>
          <w:rStyle w:val="2"/>
          <w:sz w:val="24"/>
          <w:szCs w:val="24"/>
        </w:rPr>
        <w:t xml:space="preserve"> </w:t>
      </w:r>
      <w:proofErr w:type="gramStart"/>
      <w:r w:rsidRPr="00761019">
        <w:rPr>
          <w:rStyle w:val="2"/>
          <w:sz w:val="24"/>
          <w:szCs w:val="24"/>
        </w:rPr>
        <w:t>95% ДИ 0,80-1,30).</w:t>
      </w:r>
      <w:proofErr w:type="gramEnd"/>
      <w:r w:rsidRPr="00761019">
        <w:rPr>
          <w:rStyle w:val="2"/>
          <w:sz w:val="24"/>
          <w:szCs w:val="24"/>
        </w:rPr>
        <w:t xml:space="preserve"> Как показано на рисунке 2, кривые событий в группе с планируемым опережающим применением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рано расходились и оставались раздельными до 30 дней. Однако показатель взаимодействия между стратами планируемого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и </w:t>
      </w:r>
      <w:proofErr w:type="spellStart"/>
      <w:r w:rsidRPr="00761019">
        <w:rPr>
          <w:rStyle w:val="2"/>
          <w:sz w:val="24"/>
          <w:szCs w:val="24"/>
        </w:rPr>
        <w:t>рандомизированным</w:t>
      </w:r>
      <w:proofErr w:type="spellEnd"/>
      <w:r w:rsidRPr="00761019">
        <w:rPr>
          <w:rStyle w:val="2"/>
          <w:sz w:val="24"/>
          <w:szCs w:val="24"/>
        </w:rPr>
        <w:t xml:space="preserve"> лечением не был значимым (</w:t>
      </w:r>
      <w:proofErr w:type="gramStart"/>
      <w:r w:rsidRPr="00761019">
        <w:rPr>
          <w:rStyle w:val="2"/>
          <w:sz w:val="24"/>
          <w:szCs w:val="24"/>
        </w:rPr>
        <w:t>Р</w:t>
      </w:r>
      <w:proofErr w:type="gramEnd"/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=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0,23).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3"/>
          <w:bCs/>
          <w:sz w:val="24"/>
          <w:szCs w:val="24"/>
        </w:rPr>
        <w:t xml:space="preserve">Эпизоды кровотечений, стратегия лечения и опережающее применение </w:t>
      </w:r>
      <w:proofErr w:type="spellStart"/>
      <w:r w:rsidRPr="00761019">
        <w:rPr>
          <w:rStyle w:val="53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Раннее применение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, в сравнении с отсроченным выборочным применением на этапе ЧКВ, ассоциировалось с более высокой частотой тяжелых </w:t>
      </w:r>
      <w:proofErr w:type="spellStart"/>
      <w:r w:rsidRPr="00761019">
        <w:rPr>
          <w:rStyle w:val="2"/>
          <w:sz w:val="24"/>
          <w:szCs w:val="24"/>
        </w:rPr>
        <w:t>внутригоспитальных</w:t>
      </w:r>
      <w:proofErr w:type="spellEnd"/>
      <w:r w:rsidRPr="00761019">
        <w:rPr>
          <w:rStyle w:val="2"/>
          <w:sz w:val="24"/>
          <w:szCs w:val="24"/>
        </w:rPr>
        <w:t xml:space="preserve"> кровотечений (по классификации TIMI) у тех пациентов, к которым относилось заявление о намерении опережающего использования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(рисунок 3). Однако </w:t>
      </w:r>
      <w:proofErr w:type="spellStart"/>
      <w:r w:rsidRPr="00761019">
        <w:rPr>
          <w:rStyle w:val="2"/>
          <w:sz w:val="24"/>
          <w:szCs w:val="24"/>
        </w:rPr>
        <w:t>внутригоспитальный</w:t>
      </w:r>
      <w:proofErr w:type="spellEnd"/>
      <w:r w:rsidRPr="00761019">
        <w:rPr>
          <w:rStyle w:val="2"/>
          <w:sz w:val="24"/>
          <w:szCs w:val="24"/>
        </w:rPr>
        <w:t xml:space="preserve"> риск тяжелых кровотечений/трансфузий по классификации GUSTO и только трансфузий существенно возрастал в группе раннего применения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как в страте с планируемым применением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, так и в страте, где использование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не планировалось. Показатель взаимодействия между стратой планируемой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и </w:t>
      </w:r>
      <w:proofErr w:type="spellStart"/>
      <w:r w:rsidRPr="00761019">
        <w:rPr>
          <w:rStyle w:val="2"/>
          <w:sz w:val="24"/>
          <w:szCs w:val="24"/>
        </w:rPr>
        <w:t>рандомизированным</w:t>
      </w:r>
      <w:proofErr w:type="spellEnd"/>
      <w:r w:rsidRPr="00761019">
        <w:rPr>
          <w:rStyle w:val="2"/>
          <w:sz w:val="24"/>
          <w:szCs w:val="24"/>
        </w:rPr>
        <w:t xml:space="preserve"> лечением не был значимым ни для одного из анализ</w:t>
      </w:r>
      <w:r>
        <w:rPr>
          <w:rStyle w:val="2"/>
          <w:sz w:val="24"/>
          <w:szCs w:val="24"/>
        </w:rPr>
        <w:t>и</w:t>
      </w:r>
      <w:r w:rsidRPr="00761019">
        <w:rPr>
          <w:rStyle w:val="2"/>
          <w:sz w:val="24"/>
          <w:szCs w:val="24"/>
        </w:rPr>
        <w:t>руемых параметров, связанных с кровотечениями.</w:t>
      </w:r>
    </w:p>
    <w:p w:rsidR="008F1F16" w:rsidRDefault="008F1F16" w:rsidP="00FA1C57">
      <w:pPr>
        <w:rPr>
          <w:rFonts w:ascii="Times New Roman" w:hAnsi="Times New Roman"/>
          <w:sz w:val="24"/>
          <w:szCs w:val="24"/>
        </w:rPr>
        <w:sectPr w:rsidR="008F1F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lastRenderedPageBreak/>
        <w:t xml:space="preserve">Таблица 2. Исходные характеристики, стратифицированные по намерению опережающего применения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9"/>
        <w:gridCol w:w="2460"/>
        <w:gridCol w:w="2348"/>
        <w:gridCol w:w="968"/>
      </w:tblGrid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Опережающая терапия </w:t>
            </w:r>
            <w:proofErr w:type="spellStart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клопидогрелем</w:t>
            </w:r>
            <w:proofErr w:type="spellEnd"/>
          </w:p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(n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=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6895)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Без опережающей терапии </w:t>
            </w:r>
            <w:proofErr w:type="spellStart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клопидогрелем</w:t>
            </w:r>
            <w:proofErr w:type="spellEnd"/>
          </w:p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(n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=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2271)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1F11">
              <w:rPr>
                <w:rStyle w:val="2TrebuchetMS"/>
                <w:rFonts w:ascii="Times New Roman" w:eastAsia="Calibri" w:hAnsi="Times New Roman"/>
                <w:b w:val="0"/>
                <w:bCs/>
                <w:iCs/>
                <w:sz w:val="20"/>
                <w:szCs w:val="20"/>
              </w:rPr>
              <w:t>P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Демографические данные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Возраст, годы*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67,1 (59,9; 74,5)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68,2 (60,7; 76,0)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Женский пол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30,6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34,3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Область,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Северная Америка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20,6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60,4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Западная Европа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48,0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17,7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Восточная Европа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11,4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9,1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center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Средний Восток / Африка / Тихоокеанская Азия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19,9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12,8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Раса,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Европеоидная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88,9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88,9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Негроидная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1,8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6,4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Монголоидная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8,9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3,2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Другие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0,3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1,5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Клинические характеристики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Масса тела, кг*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79,0 (69,0; 90,0)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81,0 (70,0; 94,0)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Рост, см*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170 (163; 176)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170 (163; 178)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0,002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Сахарный диабет,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29,4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32,4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0,006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Гипертензия,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70,2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73,7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Дислипидемия</w:t>
            </w:r>
            <w:proofErr w:type="spellEnd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57,1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59,9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0,018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Ранее перенесенный инфаркт миокарда,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26,9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29,2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0,037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Ранее перенесенное ЧКВ, %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24,9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24,0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0,378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center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Ранее перенесенное АКШ, %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12,5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16,2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center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Ранее имевшаяся сердечная недостаточность, %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11,8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11,9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0,915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Ранее перенесенный инсульт,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4,8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5,6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0,107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center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Заболевания периферических сосудов, %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10,1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9,4</w:t>
            </w: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0,344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Активный статус курильщика,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26,5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27,4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0,36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Индекс риска TIMI,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center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0-2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17,4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13,9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3-4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48,0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48,8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&gt;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34,6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37,3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Имеющиеся признаки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Класс </w:t>
            </w:r>
            <w:proofErr w:type="spellStart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Киллипа</w:t>
            </w:r>
            <w:proofErr w:type="spellEnd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, %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I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89,7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87,5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0,071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II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8,4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9,9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center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III</w:t>
            </w:r>
          </w:p>
        </w:tc>
        <w:tc>
          <w:tcPr>
            <w:tcW w:w="131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1,7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2,0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55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IV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0,3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0,4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Частота сердечных сокращений при поступлении, уд/мин*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76 (66; 88)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79 (67; 92)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&lt;</w:t>
            </w:r>
            <w:r w:rsidR="00B670C4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Систолическое АД при поступлении, мм рт. ст. *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Pr="00D60455" w:rsidRDefault="008F1F16" w:rsidP="00D6045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455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143 (129, 160)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Pr="00D60455" w:rsidRDefault="008F1F16" w:rsidP="00D60455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0455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145 (130, 165)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0,002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  <w:vAlign w:val="bottom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 xml:space="preserve">Исходный клиренс </w:t>
            </w:r>
            <w:proofErr w:type="spellStart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креатинина</w:t>
            </w:r>
            <w:proofErr w:type="spellEnd"/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, мл/мин*</w:t>
            </w:r>
          </w:p>
        </w:tc>
        <w:tc>
          <w:tcPr>
            <w:tcW w:w="131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74,5 (56,9; 96,5)</w:t>
            </w:r>
          </w:p>
        </w:tc>
        <w:tc>
          <w:tcPr>
            <w:tcW w:w="1252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72,9 (53,7; 95,1)</w:t>
            </w:r>
          </w:p>
        </w:tc>
        <w:tc>
          <w:tcPr>
            <w:tcW w:w="516" w:type="pct"/>
            <w:shd w:val="clear" w:color="auto" w:fill="FFFFFF"/>
            <w:vAlign w:val="bottom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0,011</w:t>
            </w:r>
          </w:p>
        </w:tc>
      </w:tr>
      <w:tr w:rsidR="008F1F16" w:rsidRPr="00141F11" w:rsidTr="00FA1C57">
        <w:trPr>
          <w:trHeight w:val="240"/>
        </w:trPr>
        <w:tc>
          <w:tcPr>
            <w:tcW w:w="1920" w:type="pct"/>
            <w:shd w:val="clear" w:color="auto" w:fill="FFFFFF"/>
          </w:tcPr>
          <w:p w:rsidR="008F1F16" w:rsidRPr="00141F11" w:rsidRDefault="008F1F16" w:rsidP="00141F11">
            <w:pPr>
              <w:spacing w:before="0"/>
              <w:ind w:left="26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Исходный уровень гемоглобина, г/л*</w:t>
            </w:r>
          </w:p>
        </w:tc>
        <w:tc>
          <w:tcPr>
            <w:tcW w:w="131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14,1 (13,0; 15,1)</w:t>
            </w:r>
          </w:p>
        </w:tc>
        <w:tc>
          <w:tcPr>
            <w:tcW w:w="1252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14,1 (12,9; 15,1)</w:t>
            </w:r>
          </w:p>
        </w:tc>
        <w:tc>
          <w:tcPr>
            <w:tcW w:w="516" w:type="pct"/>
            <w:shd w:val="clear" w:color="auto" w:fill="FFFFFF"/>
          </w:tcPr>
          <w:p w:rsidR="008F1F16" w:rsidRPr="00141F11" w:rsidRDefault="008F1F16" w:rsidP="00FA1C57">
            <w:pPr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F11">
              <w:rPr>
                <w:rStyle w:val="2Arial"/>
                <w:rFonts w:ascii="Times New Roman" w:eastAsia="Calibri" w:hAnsi="Times New Roman"/>
                <w:sz w:val="20"/>
                <w:szCs w:val="20"/>
              </w:rPr>
              <w:t>0,905</w:t>
            </w:r>
          </w:p>
        </w:tc>
      </w:tr>
    </w:tbl>
    <w:p w:rsidR="008F1F16" w:rsidRDefault="008F1F16" w:rsidP="00FA1C57">
      <w:pPr>
        <w:rPr>
          <w:rStyle w:val="22"/>
          <w:rFonts w:ascii="Times New Roman" w:eastAsia="Calibri" w:hAnsi="Times New Roman"/>
          <w:sz w:val="20"/>
          <w:szCs w:val="20"/>
        </w:rPr>
      </w:pPr>
      <w:r w:rsidRPr="00D60455">
        <w:rPr>
          <w:rStyle w:val="2Arial"/>
          <w:rFonts w:ascii="Times New Roman" w:eastAsia="Calibri" w:hAnsi="Times New Roman"/>
          <w:sz w:val="20"/>
          <w:szCs w:val="20"/>
        </w:rPr>
        <w:t>*</w:t>
      </w:r>
      <w:r w:rsidRPr="00D60455">
        <w:rPr>
          <w:rStyle w:val="22"/>
          <w:rFonts w:ascii="Times New Roman" w:eastAsia="Calibri" w:hAnsi="Times New Roman"/>
          <w:sz w:val="20"/>
          <w:szCs w:val="20"/>
        </w:rPr>
        <w:t xml:space="preserve"> Значения представлены в виде медиан (с 25-м и 75-м </w:t>
      </w:r>
      <w:proofErr w:type="spellStart"/>
      <w:r w:rsidRPr="00D60455">
        <w:rPr>
          <w:rStyle w:val="22"/>
          <w:rFonts w:ascii="Times New Roman" w:eastAsia="Calibri" w:hAnsi="Times New Roman"/>
          <w:sz w:val="20"/>
          <w:szCs w:val="20"/>
        </w:rPr>
        <w:t>процентилями</w:t>
      </w:r>
      <w:proofErr w:type="spellEnd"/>
      <w:r w:rsidRPr="00D60455">
        <w:rPr>
          <w:rStyle w:val="22"/>
          <w:rFonts w:ascii="Times New Roman" w:eastAsia="Calibri" w:hAnsi="Times New Roman"/>
          <w:sz w:val="20"/>
          <w:szCs w:val="20"/>
        </w:rPr>
        <w:t>).</w:t>
      </w:r>
    </w:p>
    <w:p w:rsidR="008F1F16" w:rsidRPr="00855F97" w:rsidRDefault="008F1F16" w:rsidP="00FA1C57">
      <w:pPr>
        <w:rPr>
          <w:rFonts w:ascii="Times New Roman" w:hAnsi="Times New Roman"/>
          <w:sz w:val="20"/>
          <w:szCs w:val="20"/>
        </w:rPr>
      </w:pPr>
      <w:r w:rsidRPr="00855F97">
        <w:rPr>
          <w:rStyle w:val="22"/>
          <w:rFonts w:ascii="Times New Roman" w:eastAsia="Calibri" w:hAnsi="Times New Roman"/>
          <w:sz w:val="20"/>
          <w:szCs w:val="20"/>
        </w:rPr>
        <w:t>АД = артериальное давление.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3"/>
          <w:bCs/>
          <w:sz w:val="24"/>
          <w:szCs w:val="24"/>
        </w:rPr>
        <w:lastRenderedPageBreak/>
        <w:t xml:space="preserve">Анализ чувствительности в зависимости от фактического опережающего применения </w:t>
      </w:r>
      <w:proofErr w:type="spellStart"/>
      <w:r w:rsidRPr="00761019">
        <w:rPr>
          <w:rStyle w:val="53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Несмотря на то, что фактическое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довольно четко совпадало с высказанным намерением назначить опережающую терапию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(97% пациентов, у которых планировалось использовать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, в действительности получали опережающую терапию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; 17,7% пациентов, у которых не планировалось назначать опережающую терапию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получали эту терапию), был проведен анализ чувствительности с использованием групп фактического применения препарата. Эти результаты, представленные в таблице 4, не имели существенных отличий от представленных выше результатов в стратах предполагаемого использования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Таблица 3. Частота событий, связанных с эффективностью и безопасностью, в зависимости от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рандомизированного</w:t>
      </w:r>
      <w:proofErr w:type="spellEnd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 лечения и страты предполагаемого применения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1170"/>
        <w:gridCol w:w="1172"/>
        <w:gridCol w:w="1172"/>
        <w:gridCol w:w="1172"/>
        <w:gridCol w:w="1172"/>
        <w:gridCol w:w="1172"/>
      </w:tblGrid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pct"/>
            <w:gridSpan w:val="3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2"/>
                <w:rFonts w:ascii="Times New Roman" w:eastAsia="Calibri" w:hAnsi="Times New Roman"/>
                <w:sz w:val="18"/>
                <w:szCs w:val="18"/>
              </w:rPr>
              <w:t xml:space="preserve">Опережающая терапия </w:t>
            </w:r>
            <w:proofErr w:type="spellStart"/>
            <w:r w:rsidRPr="00855F97">
              <w:rPr>
                <w:rStyle w:val="22"/>
                <w:rFonts w:ascii="Times New Roman" w:eastAsia="Calibri" w:hAnsi="Times New Roman"/>
                <w:sz w:val="18"/>
                <w:szCs w:val="18"/>
              </w:rPr>
              <w:t>клопидогрелем</w:t>
            </w:r>
            <w:proofErr w:type="spellEnd"/>
          </w:p>
        </w:tc>
        <w:tc>
          <w:tcPr>
            <w:tcW w:w="1875" w:type="pct"/>
            <w:gridSpan w:val="3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2"/>
                <w:rFonts w:ascii="Times New Roman" w:eastAsia="Calibri" w:hAnsi="Times New Roman"/>
                <w:sz w:val="18"/>
                <w:szCs w:val="18"/>
              </w:rPr>
              <w:t xml:space="preserve">Отсутствие опережающей терапии </w:t>
            </w:r>
            <w:proofErr w:type="spellStart"/>
            <w:r w:rsidRPr="00855F97">
              <w:rPr>
                <w:rStyle w:val="22"/>
                <w:rFonts w:ascii="Times New Roman" w:eastAsia="Calibri" w:hAnsi="Times New Roman"/>
                <w:sz w:val="18"/>
                <w:szCs w:val="18"/>
              </w:rPr>
              <w:t>клопидогрелем</w:t>
            </w:r>
            <w:proofErr w:type="spellEnd"/>
          </w:p>
        </w:tc>
      </w:tr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Раннее применение</w:t>
            </w:r>
          </w:p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эптифибатида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,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n/N (%)</w:t>
            </w:r>
          </w:p>
        </w:tc>
        <w:tc>
          <w:tcPr>
            <w:tcW w:w="625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 xml:space="preserve">Отсроченное выборочное применение </w:t>
            </w: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эптифибатида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,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n/N (%)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Скорректиро</w:t>
            </w:r>
            <w:r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softHyphen/>
            </w: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ванное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OR (95% ДИ)</w:t>
            </w:r>
          </w:p>
        </w:tc>
        <w:tc>
          <w:tcPr>
            <w:tcW w:w="625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Раннее применение</w:t>
            </w:r>
          </w:p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эптифибатида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,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n/N (%)</w:t>
            </w:r>
          </w:p>
        </w:tc>
        <w:tc>
          <w:tcPr>
            <w:tcW w:w="625" w:type="pct"/>
            <w:shd w:val="clear" w:color="auto" w:fill="FFFFFF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 xml:space="preserve">Отсроченное выборочное применение </w:t>
            </w: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эптифибатида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,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n/N (%)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Скорректиро</w:t>
            </w:r>
            <w:r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softHyphen/>
            </w: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ванное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OR (95% ДИ)</w:t>
            </w:r>
          </w:p>
        </w:tc>
      </w:tr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Смерть/ИМ/РИЭР/ТВО в течение 96 часов, n/N (%)</w:t>
            </w:r>
          </w:p>
        </w:tc>
        <w:tc>
          <w:tcPr>
            <w:tcW w:w="624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302/3443 (8,8)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324/3452 (9,4)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0,93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(0,76; 1,10)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120/1157 (10,4)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125/1114 (11,2%)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0,94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(0,72; 1,22)</w:t>
            </w:r>
          </w:p>
        </w:tc>
      </w:tr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Смерть/ИМ в течение 30 дней</w:t>
            </w:r>
          </w:p>
        </w:tc>
        <w:tc>
          <w:tcPr>
            <w:tcW w:w="624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348/3443 (10,1)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406/3452 (11,8)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0,85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(0,73; 0,99)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152/1157 (13,1)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143/1114 (12,8)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1,02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(0,80; 1,30)</w:t>
            </w:r>
          </w:p>
        </w:tc>
      </w:tr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Внутригоспитальное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 xml:space="preserve"> тяжелое кровотечение по TIMI</w:t>
            </w:r>
          </w:p>
        </w:tc>
        <w:tc>
          <w:tcPr>
            <w:tcW w:w="624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75/3371 (2,2)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48/3393 (1,4)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1,54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(1,07; 2,24)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39/1140 (3,4)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31/1100 (2,8)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1,13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(0,69; 1,84)</w:t>
            </w:r>
          </w:p>
        </w:tc>
      </w:tr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Внутригоспитальное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 xml:space="preserve"> тяжелое кровотечение/трансфузия по GUSTO</w:t>
            </w:r>
          </w:p>
        </w:tc>
        <w:tc>
          <w:tcPr>
            <w:tcW w:w="624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245/3386 (7,2)</w:t>
            </w:r>
          </w:p>
        </w:tc>
        <w:tc>
          <w:tcPr>
            <w:tcW w:w="625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203/3397 (6,0)</w:t>
            </w:r>
          </w:p>
        </w:tc>
        <w:tc>
          <w:tcPr>
            <w:tcW w:w="625" w:type="pct"/>
            <w:shd w:val="clear" w:color="auto" w:fill="FFFFFF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1,41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(1,07; 1,87)</w:t>
            </w:r>
          </w:p>
        </w:tc>
        <w:tc>
          <w:tcPr>
            <w:tcW w:w="625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152/1135 (13,4)</w:t>
            </w:r>
          </w:p>
        </w:tc>
        <w:tc>
          <w:tcPr>
            <w:tcW w:w="625" w:type="pct"/>
            <w:shd w:val="clear" w:color="auto" w:fill="FFFFFF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102/1097 (9,3)</w:t>
            </w:r>
          </w:p>
        </w:tc>
        <w:tc>
          <w:tcPr>
            <w:tcW w:w="625" w:type="pct"/>
            <w:shd w:val="clear" w:color="auto" w:fill="FFFFFF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1,26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(1,03; 1,54)</w:t>
            </w:r>
          </w:p>
        </w:tc>
      </w:tr>
      <w:tr w:rsidR="008F1F16" w:rsidRPr="00855F97" w:rsidTr="00FA1C57">
        <w:trPr>
          <w:trHeight w:val="240"/>
        </w:trPr>
        <w:tc>
          <w:tcPr>
            <w:tcW w:w="1251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Внутригоспитальная</w:t>
            </w:r>
            <w:proofErr w:type="spellEnd"/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 xml:space="preserve"> трансфузия</w:t>
            </w:r>
          </w:p>
        </w:tc>
        <w:tc>
          <w:tcPr>
            <w:tcW w:w="624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235/3419 (6,8)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196/3431 (5,7)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1,38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(1,04; 1,83)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150/1149 (13,1)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102/1108 (9,2)</w:t>
            </w:r>
          </w:p>
        </w:tc>
        <w:tc>
          <w:tcPr>
            <w:tcW w:w="625" w:type="pct"/>
            <w:shd w:val="clear" w:color="auto" w:fill="FFFFFF"/>
            <w:vAlign w:val="bottom"/>
          </w:tcPr>
          <w:p w:rsidR="008F1F16" w:rsidRDefault="008F1F16" w:rsidP="00FA1C57">
            <w:pPr>
              <w:spacing w:before="0"/>
              <w:jc w:val="center"/>
              <w:rPr>
                <w:rStyle w:val="2Arial"/>
                <w:rFonts w:ascii="Times New Roman" w:eastAsia="Calibri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1,23</w:t>
            </w:r>
          </w:p>
          <w:p w:rsidR="008F1F16" w:rsidRPr="00855F97" w:rsidRDefault="008F1F16" w:rsidP="00FA1C57">
            <w:pPr>
              <w:spacing w:befor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5F97">
              <w:rPr>
                <w:rStyle w:val="2Arial"/>
                <w:rFonts w:ascii="Times New Roman" w:eastAsia="Calibri" w:hAnsi="Times New Roman"/>
                <w:sz w:val="18"/>
                <w:szCs w:val="18"/>
              </w:rPr>
              <w:t>(1,01; 1,51)</w:t>
            </w:r>
          </w:p>
        </w:tc>
      </w:tr>
    </w:tbl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Style w:val="2"/>
          <w:sz w:val="24"/>
          <w:szCs w:val="24"/>
        </w:rPr>
      </w:pPr>
    </w:p>
    <w:p w:rsidR="008F1F16" w:rsidRPr="00D620A5" w:rsidRDefault="008F1F16" w:rsidP="00FA1C57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42"/>
          <w:bCs/>
          <w:sz w:val="32"/>
          <w:szCs w:val="32"/>
        </w:rPr>
        <w:t>Обсуждение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Тромбоциты играют основополагающую роль в патофизиологии ОКС. В условиях острого повреждения эндотелия активация и агрегация тромбоцитов являются начальными моментами в развитии блокирующих кровоток артериальных тромбов. У пациентов, которым проводится ЧКВ, обусловленная этой процедурой активация тромбоцитов создает дополнительный риск тромботических эпизодов, </w:t>
      </w:r>
      <w:r w:rsidRPr="00761019">
        <w:rPr>
          <w:rStyle w:val="2"/>
          <w:sz w:val="24"/>
          <w:szCs w:val="24"/>
          <w:vertAlign w:val="superscript"/>
        </w:rPr>
        <w:t>11,12</w:t>
      </w:r>
      <w:r w:rsidRPr="00761019">
        <w:rPr>
          <w:rStyle w:val="2"/>
          <w:sz w:val="24"/>
          <w:szCs w:val="24"/>
        </w:rPr>
        <w:t xml:space="preserve"> при этом степень гиперреактивности тромбоцитов коррелирует со степенью повреждения миокарда.</w:t>
      </w:r>
      <w:r w:rsidRPr="00761019">
        <w:rPr>
          <w:rStyle w:val="2"/>
          <w:sz w:val="24"/>
          <w:szCs w:val="24"/>
          <w:vertAlign w:val="superscript"/>
        </w:rPr>
        <w:t>13,14</w:t>
      </w:r>
      <w:r w:rsidRPr="00761019">
        <w:rPr>
          <w:rStyle w:val="2"/>
          <w:sz w:val="24"/>
          <w:szCs w:val="24"/>
        </w:rPr>
        <w:t xml:space="preserve"> По этой причине использование </w:t>
      </w:r>
      <w:proofErr w:type="spellStart"/>
      <w:r w:rsidRPr="00761019">
        <w:rPr>
          <w:rStyle w:val="2"/>
          <w:sz w:val="24"/>
          <w:szCs w:val="24"/>
        </w:rPr>
        <w:t>тиенопиридинов</w:t>
      </w:r>
      <w:proofErr w:type="spellEnd"/>
      <w:r w:rsidRPr="00761019">
        <w:rPr>
          <w:rStyle w:val="2"/>
          <w:sz w:val="24"/>
          <w:szCs w:val="24"/>
        </w:rPr>
        <w:t xml:space="preserve"> и ингибиторов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, нацеленное на различные уровни </w:t>
      </w:r>
      <w:proofErr w:type="spellStart"/>
      <w:r w:rsidRPr="00761019">
        <w:rPr>
          <w:rStyle w:val="2"/>
          <w:sz w:val="24"/>
          <w:szCs w:val="24"/>
        </w:rPr>
        <w:t>гемостатического</w:t>
      </w:r>
      <w:proofErr w:type="spellEnd"/>
      <w:r w:rsidRPr="00761019">
        <w:rPr>
          <w:rStyle w:val="2"/>
          <w:sz w:val="24"/>
          <w:szCs w:val="24"/>
        </w:rPr>
        <w:t xml:space="preserve"> механизма, может способствовать улучшению краткосрочных и долгосрочных результатов.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Положительный эффект опережающей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у пациентов с ОКС</w:t>
      </w:r>
      <w:r>
        <w:rPr>
          <w:rStyle w:val="2"/>
          <w:sz w:val="24"/>
          <w:szCs w:val="24"/>
        </w:rPr>
        <w:t>,</w:t>
      </w:r>
      <w:r w:rsidRPr="00761019">
        <w:rPr>
          <w:rStyle w:val="2"/>
          <w:sz w:val="24"/>
          <w:szCs w:val="24"/>
        </w:rPr>
        <w:t xml:space="preserve"> которым проводится ЧКВ, первоначально был установлен в исследованиях «</w:t>
      </w:r>
      <w:proofErr w:type="spellStart"/>
      <w:r w:rsidRPr="00761019">
        <w:rPr>
          <w:rStyle w:val="2"/>
          <w:sz w:val="24"/>
          <w:szCs w:val="24"/>
        </w:rPr>
        <w:t>Чрескожные</w:t>
      </w:r>
      <w:proofErr w:type="spellEnd"/>
      <w:r w:rsidRPr="00761019">
        <w:rPr>
          <w:rStyle w:val="2"/>
          <w:sz w:val="24"/>
          <w:szCs w:val="24"/>
        </w:rPr>
        <w:t xml:space="preserve"> коронарные вмешательства и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при нестабильной стенокардии для предотвращения рецидивирующих эпизодов» (PCI-CURE) и «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для снижения риска тромботических эпизодов в период наблюдения» (CREDO). Оба эти исследования показали, что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до ЧКВ способствует снижению риска сердечно-</w:t>
      </w:r>
      <w:r w:rsidRPr="00761019">
        <w:rPr>
          <w:rStyle w:val="2"/>
          <w:sz w:val="24"/>
          <w:szCs w:val="24"/>
        </w:rPr>
        <w:lastRenderedPageBreak/>
        <w:t>сосудистых эпизод</w:t>
      </w:r>
      <w:r>
        <w:rPr>
          <w:rStyle w:val="2"/>
          <w:sz w:val="24"/>
          <w:szCs w:val="24"/>
        </w:rPr>
        <w:t>о</w:t>
      </w:r>
      <w:r w:rsidRPr="00761019">
        <w:rPr>
          <w:rStyle w:val="2"/>
          <w:sz w:val="24"/>
          <w:szCs w:val="24"/>
        </w:rPr>
        <w:t>в в сравнении с плацебо.</w:t>
      </w:r>
      <w:r w:rsidRPr="00761019">
        <w:rPr>
          <w:rStyle w:val="2"/>
          <w:sz w:val="24"/>
          <w:szCs w:val="24"/>
          <w:vertAlign w:val="superscript"/>
        </w:rPr>
        <w:t xml:space="preserve">6,7 </w:t>
      </w:r>
      <w:r w:rsidRPr="00761019">
        <w:rPr>
          <w:rStyle w:val="2"/>
          <w:sz w:val="24"/>
          <w:szCs w:val="24"/>
        </w:rPr>
        <w:t>В исследовании CREDO у пациентов</w:t>
      </w:r>
      <w:proofErr w:type="gramStart"/>
      <w:r w:rsidRPr="00761019">
        <w:rPr>
          <w:rStyle w:val="2"/>
          <w:sz w:val="24"/>
          <w:szCs w:val="24"/>
        </w:rPr>
        <w:t>.</w:t>
      </w:r>
      <w:proofErr w:type="gramEnd"/>
      <w:r w:rsidRPr="00761019">
        <w:rPr>
          <w:rStyle w:val="2"/>
          <w:sz w:val="24"/>
          <w:szCs w:val="24"/>
        </w:rPr>
        <w:t xml:space="preserve"> </w:t>
      </w:r>
      <w:proofErr w:type="gramStart"/>
      <w:r w:rsidRPr="00761019">
        <w:rPr>
          <w:rStyle w:val="2"/>
          <w:sz w:val="24"/>
          <w:szCs w:val="24"/>
        </w:rPr>
        <w:t>к</w:t>
      </w:r>
      <w:proofErr w:type="gramEnd"/>
      <w:r w:rsidRPr="00761019">
        <w:rPr>
          <w:rStyle w:val="2"/>
          <w:sz w:val="24"/>
          <w:szCs w:val="24"/>
        </w:rPr>
        <w:t xml:space="preserve">оторые получали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как минимум за 6 часов до ЧКВ, снижение риска составило 3</w:t>
      </w:r>
      <w:r>
        <w:rPr>
          <w:rStyle w:val="2"/>
          <w:sz w:val="24"/>
          <w:szCs w:val="24"/>
        </w:rPr>
        <w:t>8</w:t>
      </w:r>
      <w:r w:rsidRPr="00761019">
        <w:rPr>
          <w:rStyle w:val="2"/>
          <w:sz w:val="24"/>
          <w:szCs w:val="24"/>
        </w:rPr>
        <w:t>,6% в сравнении с пациентами, которым лечение было начато позднее; кривые частоты явлений начинали расходиться через 3-4 дня после рандомизации.</w:t>
      </w:r>
      <w:r w:rsidRPr="00761019">
        <w:rPr>
          <w:rStyle w:val="2"/>
          <w:sz w:val="24"/>
          <w:szCs w:val="24"/>
          <w:vertAlign w:val="superscript"/>
        </w:rPr>
        <w:t>7</w:t>
      </w:r>
      <w:r w:rsidRPr="00761019">
        <w:rPr>
          <w:rStyle w:val="2"/>
          <w:sz w:val="24"/>
          <w:szCs w:val="24"/>
        </w:rPr>
        <w:t xml:space="preserve"> Интересно, что, хотя показатели применения ингибиторов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в </w:t>
      </w:r>
      <w:r w:rsidR="00B670C4">
        <w:rPr>
          <w:rStyle w:val="2"/>
          <w:sz w:val="24"/>
          <w:szCs w:val="24"/>
        </w:rPr>
        <w:t>этом</w:t>
      </w:r>
      <w:r w:rsidRPr="00761019">
        <w:rPr>
          <w:rStyle w:val="2"/>
          <w:sz w:val="24"/>
          <w:szCs w:val="24"/>
        </w:rPr>
        <w:t xml:space="preserve"> исследовании были низкими, преимущество предварительно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отмечалось только у пациентов, одновременно получающих ингибитор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(относительное снижение риска - 30%; </w:t>
      </w:r>
      <w:proofErr w:type="gramStart"/>
      <w:r w:rsidRPr="00761019">
        <w:rPr>
          <w:rStyle w:val="2"/>
          <w:sz w:val="24"/>
          <w:szCs w:val="24"/>
        </w:rPr>
        <w:t>Р</w:t>
      </w:r>
      <w:proofErr w:type="gramEnd"/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=</w:t>
      </w:r>
      <w:r w:rsid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0,12). Во втором исследовании «</w:t>
      </w:r>
      <w:proofErr w:type="spellStart"/>
      <w:r w:rsidRPr="00761019">
        <w:rPr>
          <w:rStyle w:val="2"/>
          <w:sz w:val="24"/>
          <w:szCs w:val="24"/>
        </w:rPr>
        <w:t>Интракоронарное</w:t>
      </w:r>
      <w:proofErr w:type="spellEnd"/>
      <w:r w:rsidRPr="00761019">
        <w:rPr>
          <w:rStyle w:val="2"/>
          <w:sz w:val="24"/>
          <w:szCs w:val="24"/>
        </w:rPr>
        <w:t xml:space="preserve"> </w:t>
      </w:r>
      <w:proofErr w:type="spellStart"/>
      <w:r w:rsidRPr="00761019">
        <w:rPr>
          <w:rStyle w:val="2"/>
          <w:sz w:val="24"/>
          <w:szCs w:val="24"/>
        </w:rPr>
        <w:t>стентирование</w:t>
      </w:r>
      <w:proofErr w:type="spellEnd"/>
      <w:r w:rsidRPr="00761019">
        <w:rPr>
          <w:rStyle w:val="2"/>
          <w:sz w:val="24"/>
          <w:szCs w:val="24"/>
        </w:rPr>
        <w:t xml:space="preserve"> и </w:t>
      </w:r>
      <w:proofErr w:type="spellStart"/>
      <w:r w:rsidRPr="00761019">
        <w:rPr>
          <w:rStyle w:val="2"/>
          <w:sz w:val="24"/>
          <w:szCs w:val="24"/>
        </w:rPr>
        <w:t>антитромботический</w:t>
      </w:r>
      <w:proofErr w:type="spellEnd"/>
      <w:r w:rsidRPr="00761019">
        <w:rPr>
          <w:rStyle w:val="2"/>
          <w:sz w:val="24"/>
          <w:szCs w:val="24"/>
        </w:rPr>
        <w:t xml:space="preserve"> режим: ранние мероприятия коронарной терапии» (ISAR-REACT 2) у пациентов с ОКС, получивших 600-мг нагрузочную дозу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как минимум за 2 часа до ЧКВ, наблюдалось снижение риска первичного оценочного показателя (смерть/ИМ/</w:t>
      </w:r>
      <w:proofErr w:type="spellStart"/>
      <w:r w:rsidRPr="00761019">
        <w:rPr>
          <w:rStyle w:val="2"/>
          <w:sz w:val="24"/>
          <w:szCs w:val="24"/>
        </w:rPr>
        <w:t>реваскуляризация</w:t>
      </w:r>
      <w:proofErr w:type="spellEnd"/>
      <w:r w:rsidRPr="00761019">
        <w:rPr>
          <w:rStyle w:val="2"/>
          <w:sz w:val="24"/>
          <w:szCs w:val="24"/>
        </w:rPr>
        <w:t xml:space="preserve"> целевого сосуда в течение 30 дней) на 25% при </w:t>
      </w:r>
      <w:proofErr w:type="spellStart"/>
      <w:r w:rsidRPr="00761019">
        <w:rPr>
          <w:rStyle w:val="2"/>
          <w:sz w:val="24"/>
          <w:szCs w:val="24"/>
        </w:rPr>
        <w:t>периоперационном</w:t>
      </w:r>
      <w:proofErr w:type="spellEnd"/>
      <w:r w:rsidRPr="00761019">
        <w:rPr>
          <w:rStyle w:val="2"/>
          <w:sz w:val="24"/>
          <w:szCs w:val="24"/>
        </w:rPr>
        <w:t xml:space="preserve"> применении ингибитора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/IIIa.</w:t>
      </w:r>
      <w:r w:rsidRPr="00761019">
        <w:rPr>
          <w:rStyle w:val="2"/>
          <w:sz w:val="24"/>
          <w:szCs w:val="24"/>
          <w:vertAlign w:val="superscript"/>
        </w:rPr>
        <w:t>8</w:t>
      </w:r>
      <w:proofErr w:type="gramStart"/>
      <w:r w:rsidRPr="00761019">
        <w:rPr>
          <w:rStyle w:val="2"/>
          <w:sz w:val="24"/>
          <w:szCs w:val="24"/>
        </w:rPr>
        <w:t xml:space="preserve"> Э</w:t>
      </w:r>
      <w:proofErr w:type="gramEnd"/>
      <w:r w:rsidRPr="00761019">
        <w:rPr>
          <w:rStyle w:val="2"/>
          <w:sz w:val="24"/>
          <w:szCs w:val="24"/>
        </w:rPr>
        <w:t xml:space="preserve">ти результаты не различались в зависимости от длительности предварительной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однако в </w:t>
      </w:r>
      <w:proofErr w:type="spellStart"/>
      <w:r w:rsidR="00B670C4">
        <w:rPr>
          <w:rStyle w:val="2"/>
          <w:sz w:val="24"/>
          <w:szCs w:val="24"/>
        </w:rPr>
        <w:t>указаных</w:t>
      </w:r>
      <w:proofErr w:type="spellEnd"/>
      <w:r w:rsidRPr="00761019">
        <w:rPr>
          <w:rStyle w:val="2"/>
          <w:sz w:val="24"/>
          <w:szCs w:val="24"/>
        </w:rPr>
        <w:t xml:space="preserve"> исследованиях не было возможности оценить более выраженный положительный клинический эффект при раннем начале терапии ингибитором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(до коронарной ангиографии и ЧКВ).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Напротив, в исследовании EARLY ACS не было обнаружено значимых различий по ишемическим показателям между группами с ранним или отсроченным выборочным назначением терапии </w:t>
      </w:r>
      <w:proofErr w:type="spellStart"/>
      <w:r w:rsidRPr="00761019">
        <w:rPr>
          <w:rStyle w:val="2"/>
          <w:sz w:val="24"/>
          <w:szCs w:val="24"/>
        </w:rPr>
        <w:t>эптифибат</w:t>
      </w:r>
      <w:bookmarkStart w:id="0" w:name="_GoBack"/>
      <w:bookmarkEnd w:id="0"/>
      <w:r w:rsidRPr="00761019">
        <w:rPr>
          <w:rStyle w:val="2"/>
          <w:sz w:val="24"/>
          <w:szCs w:val="24"/>
        </w:rPr>
        <w:t>идом</w:t>
      </w:r>
      <w:proofErr w:type="spellEnd"/>
      <w:r w:rsidRPr="00761019">
        <w:rPr>
          <w:rStyle w:val="2"/>
          <w:sz w:val="24"/>
          <w:szCs w:val="24"/>
        </w:rPr>
        <w:t xml:space="preserve"> среди пациентов с NSTE ОКС, у которых предполагалось применение стратегии раннего инвазивного вмешательства.</w:t>
      </w:r>
      <w:r w:rsidRPr="00761019">
        <w:rPr>
          <w:rStyle w:val="2"/>
          <w:sz w:val="24"/>
          <w:szCs w:val="24"/>
          <w:vertAlign w:val="superscript"/>
        </w:rPr>
        <w:t>9</w:t>
      </w:r>
      <w:proofErr w:type="gramStart"/>
      <w:r w:rsidRPr="00761019">
        <w:rPr>
          <w:rStyle w:val="2"/>
          <w:sz w:val="24"/>
          <w:szCs w:val="24"/>
        </w:rPr>
        <w:t xml:space="preserve"> В</w:t>
      </w:r>
      <w:proofErr w:type="gramEnd"/>
      <w:r w:rsidRPr="00761019">
        <w:rPr>
          <w:rStyle w:val="2"/>
          <w:sz w:val="24"/>
          <w:szCs w:val="24"/>
        </w:rPr>
        <w:t xml:space="preserve"> представленном в </w:t>
      </w:r>
      <w:r w:rsidR="00B670C4">
        <w:rPr>
          <w:rStyle w:val="2"/>
          <w:sz w:val="24"/>
          <w:szCs w:val="24"/>
        </w:rPr>
        <w:t>этой</w:t>
      </w:r>
      <w:r w:rsidRPr="00761019">
        <w:rPr>
          <w:rStyle w:val="2"/>
          <w:sz w:val="24"/>
          <w:szCs w:val="24"/>
        </w:rPr>
        <w:t xml:space="preserve"> работе анализе по предварительно выделенным подгруппам обнаружено, что результаты сравнения между ранним и отсроченным выборочным применением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по оценочному показателю (смерть/ИМ/РИЭР/ТВО в течение 96 часов) существенно не различаются в зависимости от планируемого или фактического опережающего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в сравнении с отсутствием планируемого или фактического опережающего лечения этим препаратом. Однако, несмотря на ограниченную мощность анализа подгрупп, мы показали, что раннее начало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может ассоциироваться со снижением риска ишемии в течение 30 дней. Раннее применение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сопровождалось повышением риска кровотечений, несмотря на опережающее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AD0530" w:rsidP="00FA1C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.4pt;height:220.05pt;visibility:visible">
            <v:imagedata r:id="rId14" o:title=""/>
          </v:shape>
        </w:pic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Death/MI/TBO at 96 hours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Смерть/ИМ/ТВО в течение 96 часов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Опережающая терапия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Отсутствие терапии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Death/MI at 30 days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Смерть/ИМ в течение 30 дней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Опережающая терапия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Отсутствие терапии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Early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eptifibatide</w:t>
            </w:r>
            <w:proofErr w:type="spellEnd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better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Раннее применение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эптифибатида</w:t>
            </w:r>
            <w:proofErr w:type="spellEnd"/>
            <w:r w:rsidRPr="00761019"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Provisional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eptifibatide</w:t>
            </w:r>
            <w:proofErr w:type="spellEnd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better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Выборочное применение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эптифибатида</w:t>
            </w:r>
            <w:proofErr w:type="spellEnd"/>
            <w:r w:rsidRPr="00761019"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Adjusted OR (95% CI)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Корректированное отношение шансов (95% ДИ)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p for interaction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Р для взаимодействия</w:t>
            </w:r>
          </w:p>
        </w:tc>
      </w:tr>
    </w:tbl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a1"/>
          <w:rFonts w:ascii="Times New Roman" w:eastAsia="Calibri" w:hAnsi="Times New Roman"/>
          <w:bCs/>
          <w:sz w:val="24"/>
          <w:szCs w:val="24"/>
        </w:rPr>
        <w:t xml:space="preserve">Рисунок 1. </w:t>
      </w:r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Скорректированные риски в соответствии со стратами планируемого применения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клопидогреля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 при раннем рутинном против отсроченного выборочного применения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эптифибатида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 у пациентов с NSTE ОКС, подвергающихся коронарной ангиографии. Оценочный показатель (см</w:t>
      </w:r>
      <w:r>
        <w:rPr>
          <w:rStyle w:val="a2"/>
          <w:rFonts w:ascii="Times New Roman" w:eastAsia="Calibri" w:hAnsi="Times New Roman"/>
          <w:sz w:val="24"/>
          <w:szCs w:val="24"/>
        </w:rPr>
        <w:t>е</w:t>
      </w:r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рть/ИМ/РИЭР/ТВО в течение 96 часов) был скорректирован по таким параметрам, как положительный результат анализа на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тропонин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, изменения сегмента ST на ЭКГ, характеризующей изучаемый эпизод ишемии, возраст, частота сердечных сокращений, диастолическое артериальное давление и расчетный клиренс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креатинина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, оцененный по методу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Кокрофта-Голта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. Оценочный показатель «смерть/ИМ в течение 30 дней» был скорректирован по таким параметрам, как положительный результат анализа на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тропонин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, изменения сегмента ST на ЭКГ, класс по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Киллипу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 xml:space="preserve">, возраст, расчетный клиренс </w:t>
      </w:r>
      <w:proofErr w:type="spellStart"/>
      <w:r w:rsidRPr="00761019">
        <w:rPr>
          <w:rStyle w:val="a2"/>
          <w:rFonts w:ascii="Times New Roman" w:eastAsia="Calibri" w:hAnsi="Times New Roman"/>
          <w:sz w:val="24"/>
          <w:szCs w:val="24"/>
        </w:rPr>
        <w:t>креатинина</w:t>
      </w:r>
      <w:proofErr w:type="spellEnd"/>
      <w:r w:rsidRPr="00761019">
        <w:rPr>
          <w:rStyle w:val="a2"/>
          <w:rFonts w:ascii="Times New Roman" w:eastAsia="Calibri" w:hAnsi="Times New Roman"/>
          <w:sz w:val="24"/>
          <w:szCs w:val="24"/>
        </w:rPr>
        <w:t>, масса тела и наличие в анамнезе заболевания периферических сосудов.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3"/>
          <w:bCs/>
          <w:sz w:val="24"/>
          <w:szCs w:val="24"/>
        </w:rPr>
        <w:t xml:space="preserve">Паттерны применения </w:t>
      </w:r>
      <w:proofErr w:type="spellStart"/>
      <w:r w:rsidRPr="00761019">
        <w:rPr>
          <w:rStyle w:val="53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В исследовании EARLY ACS решение об опережающем применении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не было </w:t>
      </w:r>
      <w:proofErr w:type="spellStart"/>
      <w:r w:rsidRPr="00761019">
        <w:rPr>
          <w:rStyle w:val="2"/>
          <w:sz w:val="24"/>
          <w:szCs w:val="24"/>
        </w:rPr>
        <w:t>рандомизированным</w:t>
      </w:r>
      <w:proofErr w:type="spellEnd"/>
      <w:r w:rsidRPr="00761019">
        <w:rPr>
          <w:rStyle w:val="2"/>
          <w:sz w:val="24"/>
          <w:szCs w:val="24"/>
        </w:rPr>
        <w:t xml:space="preserve">. Пациенты, получавшие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, были моложе, у них было меньше сердечно-сосудистых факторов риска (ниже индекс риска TIMI), то есть, по данным коронарной ангиографии, была ниже вероятность наличия многососудистого поражения и, следовательно, ниже вероятность того, что им потребуется хирургическая </w:t>
      </w:r>
      <w:proofErr w:type="spellStart"/>
      <w:r w:rsidRPr="00761019">
        <w:rPr>
          <w:rStyle w:val="2"/>
          <w:sz w:val="24"/>
          <w:szCs w:val="24"/>
        </w:rPr>
        <w:t>реваскуляризация</w:t>
      </w:r>
      <w:proofErr w:type="spellEnd"/>
      <w:r w:rsidRPr="00761019">
        <w:rPr>
          <w:rStyle w:val="2"/>
          <w:sz w:val="24"/>
          <w:szCs w:val="24"/>
        </w:rPr>
        <w:t>. В этом крупном международном исследовании была очевидной региональная вариабельность практических подходов, которая отмечалась и в других географически неоднородных исследованиях</w:t>
      </w:r>
      <w:r w:rsidRPr="00761019">
        <w:rPr>
          <w:rStyle w:val="2"/>
          <w:sz w:val="24"/>
          <w:szCs w:val="24"/>
          <w:vertAlign w:val="superscript"/>
        </w:rPr>
        <w:t>15,16</w:t>
      </w:r>
      <w:r w:rsidRPr="00FA1C57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 xml:space="preserve">и связана с различными характеристиками пациентов, предпочтениями врачей и культурой лечения. Следует отметить, что в североамериканских центрах чаще наблюдалась тенденция к отсрочке решения о применении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до получения результатов ангиографии, в сравнении с центрами в других регионах. Как указывали и данные реестра, существенная гетерогенность отмечалась в величине нагрузочной дозы клопидогреля.</w:t>
      </w:r>
      <w:r w:rsidRPr="00761019">
        <w:rPr>
          <w:rStyle w:val="2"/>
          <w:sz w:val="24"/>
          <w:szCs w:val="24"/>
          <w:vertAlign w:val="superscript"/>
        </w:rPr>
        <w:t>17</w:t>
      </w:r>
      <w:r w:rsidRPr="00761019">
        <w:rPr>
          <w:rStyle w:val="2"/>
          <w:sz w:val="24"/>
          <w:szCs w:val="24"/>
        </w:rPr>
        <w:t xml:space="preserve"> Хотя в руководствах рекомендовано использование по меньшей мере 300-мг нагрузочной дозы, 11% пациентов, которые еще не получали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до рандомизации, начали лечение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без нагрузочной дозы.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AD0530" w:rsidP="00FA1C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" o:spid="_x0000_i1026" type="#_x0000_t75" style="width:455.6pt;height:295.5pt;visibility:visible">
            <v:imagedata r:id="rId15" o:title=""/>
          </v:shape>
        </w:pic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Опережающая терапия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Event Rate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Частота событий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Days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Early Routine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Раннее рутинное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Delayed Provisional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Отсроченное выборочное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Отсутствие опережающей терапии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Days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Early Routine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Раннее рутинное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Delayed Provisional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Отсроченное выборочное</w:t>
            </w:r>
          </w:p>
        </w:tc>
      </w:tr>
    </w:tbl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150"/>
          <w:rFonts w:ascii="Times New Roman" w:eastAsia="Calibri" w:hAnsi="Times New Roman"/>
          <w:bCs/>
          <w:sz w:val="24"/>
          <w:szCs w:val="24"/>
        </w:rPr>
        <w:t xml:space="preserve">Рисунок 2. </w:t>
      </w:r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Кривые событий для сравнения раннего рутинного и отсроченного выборочного применения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эптифибатида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 у пациентов с NSTE ОКС, которым проводилась коронарная ангиография, (А) с заявленным намерением применения опережающей терапии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клопидогрелем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 и (В) без заявленного намерения применить опережающую терапию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клопидогрелем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AD0530" w:rsidP="00FA1C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" o:spid="_x0000_i1027" type="#_x0000_t75" style="width:460.2pt;height:269pt;visibility:visible">
            <v:imagedata r:id="rId16" o:title=""/>
          </v:shape>
        </w:pic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TIMI Major Bleeding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Серьезные кровотечения по TIMI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Опережающая терапия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Отсутствие терапии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GUSTO Severe or Any RBC Transfusion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Тяжелое кровотечение по GUSTO или любая гемотрансфузия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Опережающая терапия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Отсутствие терапии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Transfusion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Трансфузия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Upstream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Опережающая терапия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Clopidogrel</w:t>
            </w:r>
            <w:proofErr w:type="spellEnd"/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Отсутствие терапии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клопидогрелем</w:t>
            </w:r>
            <w:proofErr w:type="spellEnd"/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Early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eptifibatide</w:t>
            </w:r>
            <w:proofErr w:type="spellEnd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better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Раннее применение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эптифибатида</w:t>
            </w:r>
            <w:proofErr w:type="spellEnd"/>
            <w:r w:rsidRPr="00761019"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Provisional </w:t>
            </w:r>
            <w:proofErr w:type="spellStart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eptifibatide</w:t>
            </w:r>
            <w:proofErr w:type="spellEnd"/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better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 xml:space="preserve">Выборочное применение </w:t>
            </w:r>
            <w:proofErr w:type="spellStart"/>
            <w:r w:rsidRPr="00761019">
              <w:rPr>
                <w:rFonts w:ascii="Times New Roman" w:hAnsi="Times New Roman"/>
                <w:sz w:val="24"/>
                <w:szCs w:val="24"/>
              </w:rPr>
              <w:t>эптифибатида</w:t>
            </w:r>
            <w:proofErr w:type="spellEnd"/>
            <w:r w:rsidRPr="00761019"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E209B7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09B7">
              <w:rPr>
                <w:rFonts w:ascii="Times New Roman" w:hAnsi="Times New Roman"/>
                <w:sz w:val="24"/>
                <w:szCs w:val="24"/>
                <w:lang w:val="en-US"/>
              </w:rPr>
              <w:t>Adjusted OR (95% CI)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Корректированное отношение шансов (95% ДИ)</w:t>
            </w:r>
          </w:p>
        </w:tc>
      </w:tr>
      <w:tr w:rsidR="008F1F16" w:rsidRPr="00761019" w:rsidTr="00FA1C57">
        <w:tc>
          <w:tcPr>
            <w:tcW w:w="4672" w:type="dxa"/>
          </w:tcPr>
          <w:p w:rsidR="008F1F16" w:rsidRPr="00761019" w:rsidRDefault="008F1F16" w:rsidP="00CA5757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757">
              <w:rPr>
                <w:rFonts w:ascii="Times New Roman" w:hAnsi="Times New Roman"/>
                <w:sz w:val="24"/>
                <w:szCs w:val="24"/>
                <w:lang w:val="en-US"/>
              </w:rPr>
              <w:t>p for interaction</w:t>
            </w:r>
          </w:p>
        </w:tc>
        <w:tc>
          <w:tcPr>
            <w:tcW w:w="4673" w:type="dxa"/>
          </w:tcPr>
          <w:p w:rsidR="008F1F16" w:rsidRPr="00761019" w:rsidRDefault="008F1F16" w:rsidP="00CA575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761019">
              <w:rPr>
                <w:rFonts w:ascii="Times New Roman" w:hAnsi="Times New Roman"/>
                <w:sz w:val="24"/>
                <w:szCs w:val="24"/>
              </w:rPr>
              <w:t>Р для взаимодействия</w:t>
            </w:r>
          </w:p>
        </w:tc>
      </w:tr>
    </w:tbl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150"/>
          <w:rFonts w:ascii="Times New Roman" w:eastAsia="Calibri" w:hAnsi="Times New Roman"/>
          <w:bCs/>
          <w:sz w:val="24"/>
          <w:szCs w:val="24"/>
        </w:rPr>
        <w:t xml:space="preserve">Рисунок 3. </w:t>
      </w:r>
      <w:r w:rsidRPr="00761019">
        <w:rPr>
          <w:rFonts w:ascii="Times New Roman" w:hAnsi="Times New Roman"/>
          <w:sz w:val="24"/>
          <w:szCs w:val="24"/>
        </w:rPr>
        <w:t xml:space="preserve">Скорректированные риски в соответствии со стратами планируемого применения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при раннем рутинном в сравнении с отсроченным выборочным применением </w:t>
      </w:r>
      <w:proofErr w:type="spellStart"/>
      <w:r w:rsidRPr="00761019">
        <w:rPr>
          <w:rFonts w:ascii="Times New Roman" w:hAnsi="Times New Roman"/>
          <w:sz w:val="24"/>
          <w:szCs w:val="24"/>
        </w:rPr>
        <w:t>эптифибатида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у пациентов с NSTE ОКС, подвергающихся коронарной ангиографии.</w:t>
      </w:r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 Составные оценочные показатели кровотечений и трансфузии были скорректированы по таким параметрам, как исходный уровень гемоглобина, исходный гематокрит, количество лейкоцитов, сывороточный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креатинин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, характеризующие эпизод ишемии изменения сегмента ST на ЭКГ, пол, частота сердечных сокращений, класс по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Киллипу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, положительные кардиологические маркеры, предшествующая стенокардия, возраст, взаимодействие между полом и возрастом и взаимодействия между возрастом и классом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Киллипа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. Показатель трансфузии был скорректирован по таким параметрам, как возраст, исходный уровень гемоглобина, количество лейкоцитов, исходный гематокрит, время от обращения до рандомизации, класс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Киллипа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, частота сердечных сокращений и клиренс </w:t>
      </w:r>
      <w:proofErr w:type="spellStart"/>
      <w:r w:rsidRPr="00761019">
        <w:rPr>
          <w:rStyle w:val="151"/>
          <w:rFonts w:ascii="Times New Roman" w:eastAsia="Calibri" w:hAnsi="Times New Roman"/>
          <w:sz w:val="24"/>
          <w:szCs w:val="24"/>
        </w:rPr>
        <w:t>креатинина</w:t>
      </w:r>
      <w:proofErr w:type="spellEnd"/>
      <w:r w:rsidRPr="00761019">
        <w:rPr>
          <w:rStyle w:val="151"/>
          <w:rFonts w:ascii="Times New Roman" w:eastAsia="Calibri" w:hAnsi="Times New Roman"/>
          <w:sz w:val="24"/>
          <w:szCs w:val="24"/>
        </w:rPr>
        <w:t xml:space="preserve">; при оценке тяжелых кровотечений по классификации TIMI мы </w:t>
      </w:r>
      <w:r w:rsidRPr="00761019">
        <w:rPr>
          <w:rStyle w:val="151"/>
          <w:rFonts w:ascii="Times New Roman" w:eastAsia="Calibri" w:hAnsi="Times New Roman"/>
          <w:sz w:val="24"/>
          <w:szCs w:val="24"/>
        </w:rPr>
        <w:lastRenderedPageBreak/>
        <w:t>осуществляли поправку на возраст, предшествующую стенокардию, массу тела,</w:t>
      </w:r>
      <w:r>
        <w:rPr>
          <w:rStyle w:val="151"/>
          <w:rFonts w:ascii="Times New Roman" w:eastAsia="Calibri" w:hAnsi="Times New Roman"/>
          <w:sz w:val="24"/>
          <w:szCs w:val="24"/>
        </w:rPr>
        <w:t xml:space="preserve"> </w:t>
      </w:r>
      <w:r w:rsidRPr="00761019">
        <w:rPr>
          <w:rStyle w:val="151"/>
          <w:rFonts w:ascii="Times New Roman" w:eastAsia="Calibri" w:hAnsi="Times New Roman"/>
          <w:sz w:val="24"/>
          <w:szCs w:val="24"/>
        </w:rPr>
        <w:t>частоту сердечных сокращений, характеризующее эпизод ишемии изменение сегмента ST на ЭКГ, получаемый исследуемый препарат и взаимодействие между возрастом и исследуемым препаратом.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Таблица 4. Эффективность лечения при раннем применении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эптифибатида</w:t>
      </w:r>
      <w:proofErr w:type="spellEnd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 в сравнении с отсроченным выборочным применением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эптифибатида</w:t>
      </w:r>
      <w:proofErr w:type="spellEnd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 xml:space="preserve"> со стратификацией по стратам фактического опережающего применения </w:t>
      </w:r>
      <w:proofErr w:type="spellStart"/>
      <w:r w:rsidRPr="00761019">
        <w:rPr>
          <w:rStyle w:val="a"/>
          <w:rFonts w:ascii="Times New Roman" w:eastAsia="Calibri" w:hAnsi="Times New Roman"/>
          <w:bCs/>
          <w:sz w:val="24"/>
          <w:szCs w:val="24"/>
        </w:rPr>
        <w:t>клопидогреля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2556"/>
        <w:gridCol w:w="2544"/>
        <w:gridCol w:w="1538"/>
      </w:tblGrid>
      <w:tr w:rsidR="008F1F16" w:rsidRPr="000F2123" w:rsidTr="00FA1C57">
        <w:trPr>
          <w:trHeight w:val="240"/>
        </w:trPr>
        <w:tc>
          <w:tcPr>
            <w:tcW w:w="1460" w:type="pct"/>
            <w:vMerge w:val="restart"/>
            <w:shd w:val="clear" w:color="auto" w:fill="FFFFFF"/>
            <w:vAlign w:val="bottom"/>
          </w:tcPr>
          <w:p w:rsidR="008F1F16" w:rsidRPr="000F2123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720" w:type="pct"/>
            <w:gridSpan w:val="2"/>
            <w:shd w:val="clear" w:color="auto" w:fill="FFFFFF"/>
            <w:vAlign w:val="bottom"/>
          </w:tcPr>
          <w:p w:rsidR="008F1F16" w:rsidRPr="000F2123" w:rsidRDefault="008F1F16" w:rsidP="00FA1C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Style w:val="17"/>
                <w:rFonts w:ascii="Times New Roman" w:eastAsia="Calibri" w:hAnsi="Times New Roman"/>
                <w:sz w:val="20"/>
                <w:szCs w:val="20"/>
              </w:rPr>
              <w:t>Корректированное отношение шансов (95% ДИ)</w:t>
            </w:r>
          </w:p>
        </w:tc>
        <w:tc>
          <w:tcPr>
            <w:tcW w:w="820" w:type="pct"/>
            <w:vMerge w:val="restart"/>
            <w:shd w:val="clear" w:color="auto" w:fill="FFFFFF"/>
            <w:vAlign w:val="bottom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sz w:val="20"/>
                <w:szCs w:val="20"/>
              </w:rPr>
              <w:t>Значение р для взаимодействия</w:t>
            </w: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vMerge/>
            <w:shd w:val="clear" w:color="auto" w:fill="FFFFFF"/>
            <w:vAlign w:val="bottom"/>
          </w:tcPr>
          <w:p w:rsidR="008F1F16" w:rsidRPr="000F2123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FFFFFF"/>
            <w:vAlign w:val="bottom"/>
          </w:tcPr>
          <w:p w:rsidR="008F1F16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  <w:p w:rsidR="008F1F16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sz w:val="20"/>
                <w:szCs w:val="20"/>
              </w:rPr>
              <w:t>опережающая терапия</w:t>
            </w:r>
          </w:p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123">
              <w:rPr>
                <w:rFonts w:ascii="Times New Roman" w:hAnsi="Times New Roman"/>
                <w:sz w:val="20"/>
                <w:szCs w:val="20"/>
              </w:rPr>
              <w:t>клопидогрелем</w:t>
            </w:r>
            <w:proofErr w:type="spellEnd"/>
          </w:p>
        </w:tc>
        <w:tc>
          <w:tcPr>
            <w:tcW w:w="1357" w:type="pct"/>
            <w:shd w:val="clear" w:color="auto" w:fill="FFFFFF"/>
            <w:vAlign w:val="bottom"/>
          </w:tcPr>
          <w:p w:rsidR="008F1F16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sz w:val="20"/>
                <w:szCs w:val="20"/>
              </w:rPr>
              <w:t>Фактическое отсутствие</w:t>
            </w:r>
          </w:p>
          <w:p w:rsidR="008F1F16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sz w:val="20"/>
                <w:szCs w:val="20"/>
              </w:rPr>
              <w:t>опережающей терапии</w:t>
            </w:r>
          </w:p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123">
              <w:rPr>
                <w:rFonts w:ascii="Times New Roman" w:hAnsi="Times New Roman"/>
                <w:sz w:val="20"/>
                <w:szCs w:val="20"/>
              </w:rPr>
              <w:t>клопидогрелем</w:t>
            </w:r>
            <w:proofErr w:type="spellEnd"/>
          </w:p>
        </w:tc>
        <w:tc>
          <w:tcPr>
            <w:tcW w:w="820" w:type="pct"/>
            <w:vMerge/>
            <w:shd w:val="clear" w:color="auto" w:fill="FFFFFF"/>
            <w:vAlign w:val="bottom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Анализируемые показатели ишемии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Смерть/ИМ/РИЭР/ТВО в течение 96 часов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0,88 (0,75; 1,04)</w:t>
            </w: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1,10 (0,84; 1,45)</w:t>
            </w: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0,165</w:t>
            </w: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Смерть/ИМ в течение 30 дней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0,83 (0,71; 0,97)</w:t>
            </w: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1,11 (0,86; 1,43)</w:t>
            </w: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0,058</w:t>
            </w: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Анализируемые показатели безопасности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</w:rPr>
            </w:pP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Внутригоспитальное</w:t>
            </w:r>
            <w:proofErr w:type="spellEnd"/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тяжелое кровотечение по TIMI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1,44 (1,01; 2,07)</w:t>
            </w: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1,26 (0,76; 2,11)</w:t>
            </w: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0,67</w:t>
            </w: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Внутригоспитальное</w:t>
            </w:r>
            <w:proofErr w:type="spellEnd"/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тяжелое кровотечение/трансфузия по GUSTO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1,26 (1,03; 1,53)</w:t>
            </w: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1,42 (1,07; 1,88)</w:t>
            </w: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0,50</w:t>
            </w:r>
          </w:p>
        </w:tc>
      </w:tr>
      <w:tr w:rsidR="008F1F16" w:rsidRPr="000F2123" w:rsidTr="00FA1C57">
        <w:trPr>
          <w:trHeight w:val="240"/>
        </w:trPr>
        <w:tc>
          <w:tcPr>
            <w:tcW w:w="146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ind w:left="269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Внутригоспитальная</w:t>
            </w:r>
            <w:proofErr w:type="spellEnd"/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трансфузия</w:t>
            </w:r>
          </w:p>
        </w:tc>
        <w:tc>
          <w:tcPr>
            <w:tcW w:w="1363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1,39 (1,05; 1,85)</w:t>
            </w:r>
          </w:p>
        </w:tc>
        <w:tc>
          <w:tcPr>
            <w:tcW w:w="1357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1,22 (1,00; 1,50)</w:t>
            </w:r>
          </w:p>
        </w:tc>
        <w:tc>
          <w:tcPr>
            <w:tcW w:w="820" w:type="pct"/>
            <w:shd w:val="clear" w:color="auto" w:fill="FFFFFF"/>
          </w:tcPr>
          <w:p w:rsidR="008F1F16" w:rsidRPr="000F2123" w:rsidRDefault="008F1F16" w:rsidP="00FA1C57">
            <w:pPr>
              <w:widowControl w:val="0"/>
              <w:spacing w:befor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2123">
              <w:rPr>
                <w:rFonts w:ascii="Times New Roman" w:hAnsi="Times New Roman"/>
                <w:color w:val="000000"/>
                <w:sz w:val="20"/>
                <w:szCs w:val="20"/>
              </w:rPr>
              <w:t>0,471</w:t>
            </w:r>
          </w:p>
        </w:tc>
      </w:tr>
    </w:tbl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Style w:val="2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53"/>
          <w:bCs/>
          <w:sz w:val="24"/>
          <w:szCs w:val="24"/>
        </w:rPr>
        <w:t xml:space="preserve">Опережающая терапия </w:t>
      </w:r>
      <w:proofErr w:type="spellStart"/>
      <w:r w:rsidRPr="00761019">
        <w:rPr>
          <w:rStyle w:val="53"/>
          <w:bCs/>
          <w:sz w:val="24"/>
          <w:szCs w:val="24"/>
        </w:rPr>
        <w:t>клопидогрелем</w:t>
      </w:r>
      <w:proofErr w:type="spellEnd"/>
      <w:r w:rsidRPr="00761019">
        <w:rPr>
          <w:rStyle w:val="53"/>
          <w:bCs/>
          <w:sz w:val="24"/>
          <w:szCs w:val="24"/>
        </w:rPr>
        <w:t xml:space="preserve"> и эффективность раннего в сравнении с отсроченным выборочным применением </w:t>
      </w:r>
      <w:proofErr w:type="spellStart"/>
      <w:r w:rsidRPr="00761019">
        <w:rPr>
          <w:rStyle w:val="53"/>
          <w:bCs/>
          <w:sz w:val="24"/>
          <w:szCs w:val="24"/>
        </w:rPr>
        <w:t>эптифибатида</w:t>
      </w:r>
      <w:proofErr w:type="spellEnd"/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Ингибиторы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блокируют заключительный общий путь агрегации тромбоцитов, предотвращая образование поперечных сшивок фибриногена на поверхности активированных тромбоцитов. </w:t>
      </w:r>
      <w:r w:rsidRPr="00761019">
        <w:rPr>
          <w:rFonts w:ascii="Times New Roman" w:hAnsi="Times New Roman"/>
          <w:sz w:val="24"/>
          <w:szCs w:val="24"/>
        </w:rPr>
        <w:t xml:space="preserve">Можно предполагать наличие синергического эффекта ингибиторов гликопротеина </w:t>
      </w:r>
      <w:proofErr w:type="spellStart"/>
      <w:r w:rsidRPr="00761019">
        <w:rPr>
          <w:rFonts w:ascii="Times New Roman" w:hAnsi="Times New Roman"/>
          <w:sz w:val="24"/>
          <w:szCs w:val="24"/>
        </w:rPr>
        <w:t>IIb</w:t>
      </w:r>
      <w:proofErr w:type="spellEnd"/>
      <w:r w:rsidRPr="00761019">
        <w:rPr>
          <w:rFonts w:ascii="Times New Roman" w:hAnsi="Times New Roman"/>
          <w:sz w:val="24"/>
          <w:szCs w:val="24"/>
        </w:rPr>
        <w:t>/</w:t>
      </w:r>
      <w:proofErr w:type="spellStart"/>
      <w:r w:rsidRPr="00761019">
        <w:rPr>
          <w:rFonts w:ascii="Times New Roman" w:hAnsi="Times New Roman"/>
          <w:sz w:val="24"/>
          <w:szCs w:val="24"/>
        </w:rPr>
        <w:t>IIIa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, поскольку действие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направлено на относящийся к более раннему этапу процесса рецептор </w:t>
      </w:r>
      <w:r w:rsidRPr="00761019">
        <w:rPr>
          <w:rStyle w:val="2"/>
          <w:sz w:val="24"/>
          <w:szCs w:val="24"/>
        </w:rPr>
        <w:t>P2Y</w:t>
      </w:r>
      <w:r w:rsidRPr="00761019">
        <w:rPr>
          <w:rStyle w:val="25"/>
          <w:sz w:val="24"/>
          <w:szCs w:val="24"/>
          <w:vertAlign w:val="subscript"/>
        </w:rPr>
        <w:t>12</w:t>
      </w:r>
      <w:r w:rsidRPr="00761019">
        <w:rPr>
          <w:rStyle w:val="2"/>
          <w:sz w:val="24"/>
          <w:szCs w:val="24"/>
        </w:rPr>
        <w:t xml:space="preserve">, что приводит к ингибированию АДФ-зависимой стимуляции экспрессии рецепторов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/IIIa.</w:t>
      </w:r>
      <w:r w:rsidRPr="00D620A5">
        <w:rPr>
          <w:rStyle w:val="2"/>
          <w:sz w:val="24"/>
          <w:szCs w:val="24"/>
          <w:vertAlign w:val="superscript"/>
        </w:rPr>
        <w:t>18-19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Раннее применение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не ассоциировалось с преимуществом лечения в течение 96 часов, независимо от опережающего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. Напротив, при раннем применении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у пациентов, получавших опережающую терапию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наблюдалось существенное снижение риска смерти/ИМ в течение 30 дней. </w:t>
      </w:r>
      <w:r w:rsidRPr="00761019">
        <w:rPr>
          <w:rFonts w:ascii="Times New Roman" w:hAnsi="Times New Roman"/>
          <w:sz w:val="24"/>
          <w:szCs w:val="24"/>
        </w:rPr>
        <w:t xml:space="preserve">Несмотря на то, что значение </w:t>
      </w:r>
      <w:proofErr w:type="gramStart"/>
      <w:r w:rsidRPr="00761019">
        <w:rPr>
          <w:rFonts w:ascii="Times New Roman" w:hAnsi="Times New Roman"/>
          <w:sz w:val="24"/>
          <w:szCs w:val="24"/>
        </w:rPr>
        <w:t>Р</w:t>
      </w:r>
      <w:proofErr w:type="gramEnd"/>
      <w:r w:rsidRPr="00761019">
        <w:rPr>
          <w:rFonts w:ascii="Times New Roman" w:hAnsi="Times New Roman"/>
          <w:sz w:val="24"/>
          <w:szCs w:val="24"/>
        </w:rPr>
        <w:t xml:space="preserve"> для показателя взаимодействия между опережающей терапией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клопидогрелем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61019">
        <w:rPr>
          <w:rFonts w:ascii="Times New Roman" w:hAnsi="Times New Roman"/>
          <w:sz w:val="24"/>
          <w:szCs w:val="24"/>
        </w:rPr>
        <w:t>рандомизированным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лечением не было статистически значимым при оценке как планируемого, так и фактического применения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, показатель взаимодействия для фактического использования </w:t>
      </w:r>
      <w:proofErr w:type="spellStart"/>
      <w:r w:rsidRPr="00761019">
        <w:rPr>
          <w:rFonts w:ascii="Times New Roman" w:hAnsi="Times New Roman"/>
          <w:sz w:val="24"/>
          <w:szCs w:val="24"/>
        </w:rPr>
        <w:t>клопидогреля</w:t>
      </w:r>
      <w:proofErr w:type="spellEnd"/>
      <w:r w:rsidRPr="00761019">
        <w:rPr>
          <w:rFonts w:ascii="Times New Roman" w:hAnsi="Times New Roman"/>
          <w:sz w:val="24"/>
          <w:szCs w:val="24"/>
        </w:rPr>
        <w:t xml:space="preserve"> был номинально почти значимым (Р для взаимодействия =</w:t>
      </w:r>
      <w:r w:rsidR="00B670C4">
        <w:rPr>
          <w:rFonts w:ascii="Times New Roman" w:hAnsi="Times New Roman"/>
          <w:sz w:val="24"/>
          <w:szCs w:val="24"/>
        </w:rPr>
        <w:t xml:space="preserve"> </w:t>
      </w:r>
      <w:r w:rsidRPr="00761019">
        <w:rPr>
          <w:rFonts w:ascii="Times New Roman" w:hAnsi="Times New Roman"/>
          <w:sz w:val="24"/>
          <w:szCs w:val="24"/>
        </w:rPr>
        <w:t>0,058) в условиях анализа подгрупп, не обладающего достаточной мощностью.</w:t>
      </w:r>
      <w:r w:rsidRPr="00761019">
        <w:rPr>
          <w:rStyle w:val="2"/>
          <w:sz w:val="24"/>
          <w:szCs w:val="24"/>
        </w:rPr>
        <w:t xml:space="preserve"> Эти результаты указывают на </w:t>
      </w:r>
      <w:r w:rsidRPr="00761019">
        <w:rPr>
          <w:rStyle w:val="2"/>
          <w:sz w:val="24"/>
          <w:szCs w:val="24"/>
        </w:rPr>
        <w:lastRenderedPageBreak/>
        <w:t>потенциальную эффективность раннего комбинированного лечения, которая проявляется далеко за пределами ф</w:t>
      </w:r>
      <w:r>
        <w:rPr>
          <w:rStyle w:val="2"/>
          <w:sz w:val="24"/>
          <w:szCs w:val="24"/>
        </w:rPr>
        <w:t>а</w:t>
      </w:r>
      <w:r w:rsidRPr="00761019">
        <w:rPr>
          <w:rStyle w:val="2"/>
          <w:sz w:val="24"/>
          <w:szCs w:val="24"/>
        </w:rPr>
        <w:t xml:space="preserve">ктического периода лечения </w:t>
      </w:r>
      <w:proofErr w:type="spellStart"/>
      <w:r w:rsidRPr="00761019">
        <w:rPr>
          <w:rStyle w:val="2"/>
          <w:sz w:val="24"/>
          <w:szCs w:val="24"/>
        </w:rPr>
        <w:t>эптифибатидом</w:t>
      </w:r>
      <w:proofErr w:type="spellEnd"/>
      <w:r w:rsidRPr="00761019">
        <w:rPr>
          <w:rStyle w:val="2"/>
          <w:sz w:val="24"/>
          <w:szCs w:val="24"/>
        </w:rPr>
        <w:t>.</w:t>
      </w:r>
    </w:p>
    <w:p w:rsidR="008F1F16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>В предшествующих исследованиях было продемонстрировано стойкое состояние гиперреактивности тромбоцитов в течение нескольких месяцев после явления ОКС, способствующее повышению риска рецидивирующих ишемических эпизодов.</w:t>
      </w:r>
      <w:r w:rsidRPr="00761019">
        <w:rPr>
          <w:rStyle w:val="2"/>
          <w:sz w:val="24"/>
          <w:szCs w:val="24"/>
          <w:vertAlign w:val="superscript"/>
        </w:rPr>
        <w:t>20</w:t>
      </w:r>
      <w:r w:rsidRPr="00761019">
        <w:rPr>
          <w:rStyle w:val="2"/>
          <w:sz w:val="24"/>
          <w:szCs w:val="24"/>
        </w:rPr>
        <w:t xml:space="preserve"> Кроме того, у 15-30% пациентов, получающих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, после нагрузочной дозы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уровень ингибирования тромбоцитов недостаточен,</w:t>
      </w:r>
      <w:r w:rsidRPr="00761019">
        <w:rPr>
          <w:rStyle w:val="2"/>
          <w:sz w:val="24"/>
          <w:szCs w:val="24"/>
          <w:vertAlign w:val="superscript"/>
        </w:rPr>
        <w:t>21</w:t>
      </w:r>
      <w:r w:rsidRPr="00761019">
        <w:rPr>
          <w:rStyle w:val="2"/>
          <w:sz w:val="24"/>
          <w:szCs w:val="24"/>
        </w:rPr>
        <w:t xml:space="preserve"> что ассоциируется с повышенным риском тромбоэмболических эпизодов, таких как ИМ, тромбоз </w:t>
      </w:r>
      <w:proofErr w:type="spellStart"/>
      <w:r w:rsidRPr="00761019">
        <w:rPr>
          <w:rStyle w:val="2"/>
          <w:sz w:val="24"/>
          <w:szCs w:val="24"/>
        </w:rPr>
        <w:t>стента</w:t>
      </w:r>
      <w:proofErr w:type="spellEnd"/>
      <w:r w:rsidRPr="00761019">
        <w:rPr>
          <w:rStyle w:val="2"/>
          <w:sz w:val="24"/>
          <w:szCs w:val="24"/>
        </w:rPr>
        <w:t xml:space="preserve"> и сердечно-сосудистая смерть.</w:t>
      </w:r>
      <w:r w:rsidRPr="00761019">
        <w:rPr>
          <w:rStyle w:val="2"/>
          <w:sz w:val="24"/>
          <w:szCs w:val="24"/>
          <w:vertAlign w:val="superscript"/>
        </w:rPr>
        <w:t>22-24</w:t>
      </w:r>
      <w:r w:rsidRPr="00761019">
        <w:rPr>
          <w:rStyle w:val="2"/>
          <w:sz w:val="24"/>
          <w:szCs w:val="24"/>
        </w:rPr>
        <w:t xml:space="preserve"> Можно предположить, что устойчивость острой активации тромбоцитов отчасти определяет величину долгосрочной реактивности. В связи с тем, что ингибиторы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характеризуются быстрым н</w:t>
      </w:r>
      <w:r>
        <w:rPr>
          <w:rStyle w:val="2"/>
          <w:sz w:val="24"/>
          <w:szCs w:val="24"/>
        </w:rPr>
        <w:t>а</w:t>
      </w:r>
      <w:r w:rsidRPr="00761019">
        <w:rPr>
          <w:rStyle w:val="2"/>
          <w:sz w:val="24"/>
          <w:szCs w:val="24"/>
        </w:rPr>
        <w:t>чалом действия и обеспечивают высокий уровень ингибирования тромбоцитов,</w:t>
      </w:r>
      <w:r w:rsidRPr="00761019">
        <w:rPr>
          <w:rStyle w:val="2"/>
          <w:sz w:val="24"/>
          <w:szCs w:val="24"/>
          <w:vertAlign w:val="superscript"/>
        </w:rPr>
        <w:t>25</w:t>
      </w:r>
      <w:r w:rsidRPr="00761019">
        <w:rPr>
          <w:rStyle w:val="2"/>
          <w:sz w:val="24"/>
          <w:szCs w:val="24"/>
        </w:rPr>
        <w:t xml:space="preserve"> раннее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может способствовать существенному снижению как острого, так и длительного уровня повышенной реактивности тромбоцитов (в большей степени, чем каждый из препаратов в отдельности) и обеспечить синергический эффект снижения долгосрочного риска сердечно-сосудистых эпизодов. Напротив, более мощное и стойкое ингибирование тромбоцитов такими пероральными препаратами, как </w:t>
      </w:r>
      <w:proofErr w:type="spellStart"/>
      <w:r w:rsidRPr="00761019">
        <w:rPr>
          <w:rStyle w:val="2"/>
          <w:sz w:val="24"/>
          <w:szCs w:val="24"/>
        </w:rPr>
        <w:t>прасугрель</w:t>
      </w:r>
      <w:proofErr w:type="spellEnd"/>
      <w:r w:rsidRPr="00761019">
        <w:rPr>
          <w:rStyle w:val="2"/>
          <w:sz w:val="24"/>
          <w:szCs w:val="24"/>
        </w:rPr>
        <w:t xml:space="preserve">, предположительно не должно характеризоваться и не характеризуется значимым взаимодействием с применением ингибитора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(</w:t>
      </w:r>
      <w:proofErr w:type="spellStart"/>
      <w:r w:rsidRPr="00761019">
        <w:rPr>
          <w:rStyle w:val="2"/>
          <w:sz w:val="24"/>
          <w:szCs w:val="24"/>
        </w:rPr>
        <w:t>P</w:t>
      </w:r>
      <w:r w:rsidRPr="00761019">
        <w:rPr>
          <w:rStyle w:val="2"/>
          <w:sz w:val="24"/>
          <w:szCs w:val="24"/>
          <w:vertAlign w:val="subscript"/>
        </w:rPr>
        <w:t>взаимодействия</w:t>
      </w:r>
      <w:proofErr w:type="spellEnd"/>
      <w:r w:rsidRPr="00761019">
        <w:rPr>
          <w:rStyle w:val="2"/>
          <w:sz w:val="24"/>
          <w:szCs w:val="24"/>
        </w:rPr>
        <w:t xml:space="preserve"> =</w:t>
      </w:r>
      <w:r w:rsidRPr="00B670C4">
        <w:rPr>
          <w:rStyle w:val="2"/>
          <w:sz w:val="24"/>
          <w:szCs w:val="24"/>
        </w:rPr>
        <w:t xml:space="preserve"> </w:t>
      </w:r>
      <w:r w:rsidRPr="00761019">
        <w:rPr>
          <w:rStyle w:val="2"/>
          <w:sz w:val="24"/>
          <w:szCs w:val="24"/>
        </w:rPr>
        <w:t>0,83).</w:t>
      </w:r>
      <w:r w:rsidRPr="00761019">
        <w:rPr>
          <w:rStyle w:val="2"/>
          <w:sz w:val="24"/>
          <w:szCs w:val="24"/>
          <w:vertAlign w:val="superscript"/>
        </w:rPr>
        <w:t>26</w:t>
      </w:r>
      <w:proofErr w:type="gramStart"/>
      <w:r w:rsidRPr="00761019">
        <w:rPr>
          <w:rStyle w:val="2"/>
          <w:sz w:val="24"/>
          <w:szCs w:val="24"/>
        </w:rPr>
        <w:t xml:space="preserve"> Д</w:t>
      </w:r>
      <w:proofErr w:type="gramEnd"/>
      <w:r w:rsidRPr="00761019">
        <w:rPr>
          <w:rStyle w:val="2"/>
          <w:sz w:val="24"/>
          <w:szCs w:val="24"/>
        </w:rPr>
        <w:t xml:space="preserve">ля тестирования этой гипотезы требуется проведение </w:t>
      </w:r>
      <w:proofErr w:type="spellStart"/>
      <w:r w:rsidRPr="00761019">
        <w:rPr>
          <w:rStyle w:val="2"/>
          <w:sz w:val="24"/>
          <w:szCs w:val="24"/>
        </w:rPr>
        <w:t>рандомизированных</w:t>
      </w:r>
      <w:proofErr w:type="spellEnd"/>
      <w:r w:rsidRPr="00761019">
        <w:rPr>
          <w:rStyle w:val="2"/>
          <w:sz w:val="24"/>
          <w:szCs w:val="24"/>
        </w:rPr>
        <w:t xml:space="preserve"> клинических исследований с долгосрочным последующим наблюдением, в частности, для изучения вопроса о том, каким должен быть лучший препарат, подходящий для пациентов, у которых планируется применение стратегии раннего инвазивного вмешательства. Интересно, что, хотя в ранних исследованиях было продемонстрировано положительное влияние ингибирования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в отсутствие клопидогреля,</w:t>
      </w:r>
      <w:r w:rsidRPr="00761019">
        <w:rPr>
          <w:rStyle w:val="2"/>
          <w:sz w:val="24"/>
          <w:szCs w:val="24"/>
          <w:vertAlign w:val="superscript"/>
        </w:rPr>
        <w:t>27,28</w:t>
      </w:r>
      <w:r w:rsidRPr="00761019">
        <w:rPr>
          <w:rStyle w:val="2"/>
          <w:sz w:val="24"/>
          <w:szCs w:val="24"/>
        </w:rPr>
        <w:t xml:space="preserve"> в представленном анализе преимущества этой терапии у пациентов, не получавших предварительного лечения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не отмечалось. Это может отчасти быть отражением различий исследуемой популяции в сравнении с предыдущими исследованиями. Несмотря на характеристики пациентов, свидетельствующие о повышенном риске (медиана возраста 67 лет в сравнении с 64 годами, частота сахарного диабета 31% в сравнении с 23%, положительный результат анализа на </w:t>
      </w:r>
      <w:proofErr w:type="spellStart"/>
      <w:r w:rsidRPr="00761019">
        <w:rPr>
          <w:rStyle w:val="2"/>
          <w:sz w:val="24"/>
          <w:szCs w:val="24"/>
        </w:rPr>
        <w:t>креатинкиназу</w:t>
      </w:r>
      <w:proofErr w:type="spellEnd"/>
      <w:r w:rsidRPr="00761019">
        <w:rPr>
          <w:rStyle w:val="2"/>
          <w:sz w:val="24"/>
          <w:szCs w:val="24"/>
        </w:rPr>
        <w:t xml:space="preserve"> МВ у 63% в сравнении с 46%), частота анализируемых эпизодов в исследовании EARLY ACS была ниже, чем в исследовании «</w:t>
      </w:r>
      <w:proofErr w:type="spellStart"/>
      <w:r w:rsidRPr="00761019">
        <w:rPr>
          <w:rStyle w:val="2"/>
          <w:sz w:val="24"/>
          <w:szCs w:val="24"/>
        </w:rPr>
        <w:t>Тромбоцитарный</w:t>
      </w:r>
      <w:proofErr w:type="spellEnd"/>
      <w:r w:rsidRPr="00761019">
        <w:rPr>
          <w:rStyle w:val="2"/>
          <w:sz w:val="24"/>
          <w:szCs w:val="24"/>
        </w:rPr>
        <w:t xml:space="preserve"> гликопротеин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при нестабильной стенокардии: подавление рецепторов с использованием терапии </w:t>
      </w:r>
      <w:proofErr w:type="spellStart"/>
      <w:r w:rsidRPr="00761019">
        <w:rPr>
          <w:rStyle w:val="2"/>
          <w:sz w:val="24"/>
          <w:szCs w:val="24"/>
        </w:rPr>
        <w:t>интегрилином</w:t>
      </w:r>
      <w:proofErr w:type="spellEnd"/>
      <w:r w:rsidRPr="00761019">
        <w:rPr>
          <w:rStyle w:val="2"/>
          <w:sz w:val="24"/>
          <w:szCs w:val="24"/>
        </w:rPr>
        <w:t>» (PURSUIT) (30-дневный риск смерти/им 11% в сравнении с 15%).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(Комментарий: в разделе «Опережающее применение </w:t>
      </w:r>
      <w:proofErr w:type="spellStart"/>
      <w:r w:rsidRPr="00761019">
        <w:rPr>
          <w:rStyle w:val="2"/>
          <w:sz w:val="24"/>
          <w:szCs w:val="24"/>
        </w:rPr>
        <w:t>клопидогре</w:t>
      </w:r>
      <w:r>
        <w:rPr>
          <w:rStyle w:val="2"/>
          <w:sz w:val="24"/>
          <w:szCs w:val="24"/>
        </w:rPr>
        <w:t>л</w:t>
      </w:r>
      <w:r w:rsidRPr="00761019">
        <w:rPr>
          <w:rStyle w:val="2"/>
          <w:sz w:val="24"/>
          <w:szCs w:val="24"/>
        </w:rPr>
        <w:t>я</w:t>
      </w:r>
      <w:proofErr w:type="spellEnd"/>
      <w:r w:rsidRPr="00761019">
        <w:rPr>
          <w:rStyle w:val="2"/>
          <w:sz w:val="24"/>
          <w:szCs w:val="24"/>
        </w:rPr>
        <w:t xml:space="preserve"> и эффективность раннего в сравнении с отсроченным выборочным применением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>», третий параграф, просьба подтвердить расширенные фазы исследований PURSUIT и PRISM-PLUS</w:t>
      </w:r>
      <w:r>
        <w:rPr>
          <w:rStyle w:val="2"/>
          <w:sz w:val="24"/>
          <w:szCs w:val="24"/>
        </w:rPr>
        <w:t>.</w:t>
      </w:r>
      <w:r w:rsidRPr="00761019">
        <w:rPr>
          <w:rStyle w:val="2"/>
          <w:sz w:val="24"/>
          <w:szCs w:val="24"/>
        </w:rPr>
        <w:t xml:space="preserve">) </w:t>
      </w:r>
      <w:proofErr w:type="gramStart"/>
      <w:r w:rsidRPr="00761019">
        <w:rPr>
          <w:rStyle w:val="2"/>
          <w:sz w:val="24"/>
          <w:szCs w:val="24"/>
        </w:rPr>
        <w:t>Это различи</w:t>
      </w:r>
      <w:r>
        <w:rPr>
          <w:rStyle w:val="2"/>
          <w:sz w:val="24"/>
          <w:szCs w:val="24"/>
        </w:rPr>
        <w:t>е</w:t>
      </w:r>
      <w:r w:rsidRPr="00761019">
        <w:rPr>
          <w:rStyle w:val="2"/>
          <w:sz w:val="24"/>
          <w:szCs w:val="24"/>
        </w:rPr>
        <w:t xml:space="preserve"> может быть обусловлено также разницей в интенсивности терапии между исследованием EARLY ACS и ранними исследованиями: короткая </w:t>
      </w:r>
      <w:proofErr w:type="spellStart"/>
      <w:r w:rsidRPr="00761019">
        <w:rPr>
          <w:rStyle w:val="2"/>
          <w:sz w:val="24"/>
          <w:szCs w:val="24"/>
        </w:rPr>
        <w:t>инфузия</w:t>
      </w:r>
      <w:proofErr w:type="spellEnd"/>
      <w:r w:rsidRPr="00761019">
        <w:rPr>
          <w:rStyle w:val="2"/>
          <w:sz w:val="24"/>
          <w:szCs w:val="24"/>
        </w:rPr>
        <w:t xml:space="preserve"> ингибитора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(медиана в исследовании EARLY ACS - 36 часов, а в исследовании PURSUIT - 72 часа), а также более ранней </w:t>
      </w:r>
      <w:proofErr w:type="spellStart"/>
      <w:r w:rsidRPr="00761019">
        <w:rPr>
          <w:rStyle w:val="2"/>
          <w:sz w:val="24"/>
          <w:szCs w:val="24"/>
        </w:rPr>
        <w:t>реваскуляризацией</w:t>
      </w:r>
      <w:proofErr w:type="spellEnd"/>
      <w:r w:rsidRPr="00761019">
        <w:rPr>
          <w:rStyle w:val="2"/>
          <w:sz w:val="24"/>
          <w:szCs w:val="24"/>
        </w:rPr>
        <w:t xml:space="preserve"> (медиана 21,4 часа после рандомизации в исследовании EARLY ACS и 48-96 часов в исследовании «Ингибирование </w:t>
      </w:r>
      <w:proofErr w:type="spellStart"/>
      <w:r w:rsidRPr="00761019">
        <w:rPr>
          <w:rStyle w:val="2"/>
          <w:sz w:val="24"/>
          <w:szCs w:val="24"/>
        </w:rPr>
        <w:t>тромбоцитарных</w:t>
      </w:r>
      <w:proofErr w:type="spellEnd"/>
      <w:r w:rsidRPr="00761019">
        <w:rPr>
          <w:rStyle w:val="2"/>
          <w:sz w:val="24"/>
          <w:szCs w:val="24"/>
        </w:rPr>
        <w:t xml:space="preserve"> рецепторов при лечении</w:t>
      </w:r>
      <w:proofErr w:type="gramEnd"/>
      <w:r w:rsidRPr="00761019">
        <w:rPr>
          <w:rStyle w:val="2"/>
          <w:sz w:val="24"/>
          <w:szCs w:val="24"/>
        </w:rPr>
        <w:t xml:space="preserve"> ишемического синдрома у пациентов с нестабильными признаками и симптомами» [PRISM-PLUS]). Наконец, в ранних исследованиях коронарная ангиография проводилась лишь у некоторых подгрупп основной популяции пациентов, причем в период проведения этих исследований опережающая терапия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еще не использовалась.</w:t>
      </w:r>
    </w:p>
    <w:p w:rsidR="008F1F16" w:rsidRPr="00761019" w:rsidRDefault="008F1F16" w:rsidP="00FA1C57">
      <w:pPr>
        <w:rPr>
          <w:rStyle w:val="2"/>
          <w:sz w:val="24"/>
          <w:szCs w:val="24"/>
          <w:vertAlign w:val="superscript"/>
        </w:rPr>
      </w:pPr>
      <w:r w:rsidRPr="00761019">
        <w:rPr>
          <w:rStyle w:val="2"/>
          <w:sz w:val="24"/>
          <w:szCs w:val="24"/>
        </w:rPr>
        <w:t xml:space="preserve">Раннее использование ингибиторов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сопровождалась повышением риска кровотечений, который несколько увеличивался при добавлении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. По этой причине необходимы дальнейшие исследования, которые позволят выделить </w:t>
      </w:r>
      <w:r w:rsidRPr="00761019">
        <w:rPr>
          <w:rStyle w:val="2"/>
          <w:sz w:val="24"/>
          <w:szCs w:val="24"/>
        </w:rPr>
        <w:lastRenderedPageBreak/>
        <w:t>подгруппу пациентов, у которых наиболее вероятно получение положительного эффекта от более интенсивного ингибирования тромбоцитов без значимого избыточного риска кровотечений. В продолжающихся исследованиях изучаются клинические и лабораторные факторы риска, которые могут оказаться полезными в стратификации рисков ишемии и кровотечений у этих пациентов с ОКС.</w:t>
      </w:r>
      <w:r w:rsidRPr="00761019">
        <w:rPr>
          <w:rStyle w:val="2"/>
          <w:sz w:val="24"/>
          <w:szCs w:val="24"/>
          <w:vertAlign w:val="superscript"/>
        </w:rPr>
        <w:t>29,30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63"/>
          <w:bCs/>
          <w:sz w:val="24"/>
          <w:szCs w:val="24"/>
        </w:rPr>
        <w:t>Ограничения исследования</w:t>
      </w:r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В </w:t>
      </w:r>
      <w:r w:rsidR="00B670C4">
        <w:rPr>
          <w:rStyle w:val="2"/>
          <w:sz w:val="24"/>
          <w:szCs w:val="24"/>
        </w:rPr>
        <w:t>этом</w:t>
      </w:r>
      <w:r w:rsidRPr="00761019">
        <w:rPr>
          <w:rStyle w:val="2"/>
          <w:sz w:val="24"/>
          <w:szCs w:val="24"/>
        </w:rPr>
        <w:t xml:space="preserve"> исследовании проведено сравнение эффективности </w:t>
      </w:r>
      <w:proofErr w:type="spellStart"/>
      <w:r w:rsidRPr="00761019">
        <w:rPr>
          <w:rStyle w:val="2"/>
          <w:sz w:val="24"/>
          <w:szCs w:val="24"/>
        </w:rPr>
        <w:t>рандомизированного</w:t>
      </w:r>
      <w:proofErr w:type="spellEnd"/>
      <w:r w:rsidRPr="00761019">
        <w:rPr>
          <w:rStyle w:val="2"/>
          <w:sz w:val="24"/>
          <w:szCs w:val="24"/>
        </w:rPr>
        <w:t xml:space="preserve"> лечения в пределах подгрупп, однако в исследовании EARLY ACS это ограничение было сглажено за счет схемы рандомизации, стратифицирован</w:t>
      </w:r>
      <w:r>
        <w:rPr>
          <w:rStyle w:val="2"/>
          <w:sz w:val="24"/>
          <w:szCs w:val="24"/>
        </w:rPr>
        <w:t>н</w:t>
      </w:r>
      <w:r w:rsidRPr="00761019">
        <w:rPr>
          <w:rStyle w:val="2"/>
          <w:sz w:val="24"/>
          <w:szCs w:val="24"/>
        </w:rPr>
        <w:t xml:space="preserve">ой по заявленному намерению использовать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 в опережающем режиме, в результате чего страта лечения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 являлась самостоятельной, предварительно выделенной подгруппой. Тем не менее имели место региональные различия в тактике назначения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>. В связи с высо</w:t>
      </w:r>
      <w:r>
        <w:rPr>
          <w:rStyle w:val="2"/>
          <w:sz w:val="24"/>
          <w:szCs w:val="24"/>
        </w:rPr>
        <w:t>к</w:t>
      </w:r>
      <w:r w:rsidRPr="00761019">
        <w:rPr>
          <w:rStyle w:val="2"/>
          <w:sz w:val="24"/>
          <w:szCs w:val="24"/>
        </w:rPr>
        <w:t xml:space="preserve">ой степенью влияния географической области на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в многофакторной модели не было возможности провести коррекцию на географический регион. Во-вторых, пациенты, </w:t>
      </w:r>
      <w:proofErr w:type="spellStart"/>
      <w:r w:rsidRPr="00761019">
        <w:rPr>
          <w:rStyle w:val="2"/>
          <w:sz w:val="24"/>
          <w:szCs w:val="24"/>
        </w:rPr>
        <w:t>рандомизированные</w:t>
      </w:r>
      <w:proofErr w:type="spellEnd"/>
      <w:r w:rsidRPr="00761019">
        <w:rPr>
          <w:rStyle w:val="2"/>
          <w:sz w:val="24"/>
          <w:szCs w:val="24"/>
        </w:rPr>
        <w:t xml:space="preserve"> в клинических исследованиях</w:t>
      </w:r>
      <w:r>
        <w:rPr>
          <w:rStyle w:val="2"/>
          <w:sz w:val="24"/>
          <w:szCs w:val="24"/>
        </w:rPr>
        <w:t>,</w:t>
      </w:r>
      <w:r w:rsidRPr="00761019">
        <w:rPr>
          <w:rStyle w:val="2"/>
          <w:sz w:val="24"/>
          <w:szCs w:val="24"/>
        </w:rPr>
        <w:t xml:space="preserve"> представляют особую когорту, клинические характеристики, лечение и результаты лечения которой не всегда отражают фактическую клиническую практику (в частности, они отличаются меньшим промежутком времени до проведения ангиографии). При этом, однако, в то</w:t>
      </w:r>
      <w:r>
        <w:rPr>
          <w:rStyle w:val="2"/>
          <w:sz w:val="24"/>
          <w:szCs w:val="24"/>
        </w:rPr>
        <w:t>м</w:t>
      </w:r>
      <w:r w:rsidRPr="00761019">
        <w:rPr>
          <w:rStyle w:val="2"/>
          <w:sz w:val="24"/>
          <w:szCs w:val="24"/>
        </w:rPr>
        <w:t>, что касается времени до проведения ангиографии, когорта исследования EARLY ACS была на редкость близка к когортам пациентов в исследованиях Может л</w:t>
      </w:r>
      <w:r>
        <w:rPr>
          <w:rStyle w:val="2"/>
          <w:sz w:val="24"/>
          <w:szCs w:val="24"/>
        </w:rPr>
        <w:t>и</w:t>
      </w:r>
      <w:r w:rsidRPr="00761019">
        <w:rPr>
          <w:rStyle w:val="2"/>
          <w:sz w:val="24"/>
          <w:szCs w:val="24"/>
        </w:rPr>
        <w:t xml:space="preserve"> быстрая стратификация рисков у пациентов с нестабильной стенокардией способствовать снижению риска неблагоприятных исходов при раннем внедрении руково</w:t>
      </w:r>
      <w:r>
        <w:rPr>
          <w:rStyle w:val="2"/>
          <w:sz w:val="24"/>
          <w:szCs w:val="24"/>
        </w:rPr>
        <w:t>д</w:t>
      </w:r>
      <w:r w:rsidRPr="00761019">
        <w:rPr>
          <w:rStyle w:val="2"/>
          <w:sz w:val="24"/>
          <w:szCs w:val="24"/>
        </w:rPr>
        <w:t>ств</w:t>
      </w:r>
      <w:r>
        <w:rPr>
          <w:rStyle w:val="2"/>
          <w:sz w:val="24"/>
          <w:szCs w:val="24"/>
        </w:rPr>
        <w:t>а</w:t>
      </w:r>
      <w:r w:rsidRPr="00761019">
        <w:rPr>
          <w:rStyle w:val="2"/>
          <w:sz w:val="24"/>
          <w:szCs w:val="24"/>
        </w:rPr>
        <w:t xml:space="preserve"> ACC/AHA (CRUSADE) и практических наблюдениях Глобального регистра острых коронарных яв</w:t>
      </w:r>
      <w:r>
        <w:rPr>
          <w:rStyle w:val="2"/>
          <w:sz w:val="24"/>
          <w:szCs w:val="24"/>
        </w:rPr>
        <w:t>л</w:t>
      </w:r>
      <w:r w:rsidRPr="00761019">
        <w:rPr>
          <w:rStyle w:val="2"/>
          <w:sz w:val="24"/>
          <w:szCs w:val="24"/>
        </w:rPr>
        <w:t>ений (BRACE), при том что пациенты исследования EARLY ACS были отобраны таким образом, что отражали популяции высокого риска, включающие пациентов пожилого возраста, которые в 84% имели положительные результаты анализа на тропонин.</w:t>
      </w:r>
      <w:r w:rsidRPr="00761019">
        <w:rPr>
          <w:rStyle w:val="2"/>
          <w:sz w:val="24"/>
          <w:szCs w:val="24"/>
          <w:vertAlign w:val="superscript"/>
        </w:rPr>
        <w:t>9,31,32</w:t>
      </w:r>
      <w:r w:rsidRPr="00761019">
        <w:rPr>
          <w:rStyle w:val="2"/>
          <w:sz w:val="24"/>
          <w:szCs w:val="24"/>
        </w:rPr>
        <w:t xml:space="preserve"> В-третьих, применение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в течение &gt;24 часов перед рандомизацией не учитывалось в индивидуальной регистрационной карте исследования EARLY ACS, этому мы не имели возможности оценить влияние долгосрочного предварительного применения препарата на исходы лечения. С учетом малого числа пациентов представленный анализ не мог дать дополнительных сведений об эффективности назначения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в пределах 12 часов перед ангиографией. Наконец, в </w:t>
      </w:r>
      <w:r w:rsidR="00B670C4">
        <w:rPr>
          <w:rStyle w:val="2"/>
          <w:sz w:val="24"/>
          <w:szCs w:val="24"/>
        </w:rPr>
        <w:t>этом</w:t>
      </w:r>
      <w:r w:rsidRPr="00761019">
        <w:rPr>
          <w:rStyle w:val="2"/>
          <w:sz w:val="24"/>
          <w:szCs w:val="24"/>
        </w:rPr>
        <w:t xml:space="preserve"> исследовании ограничена мощность возможности выявления взаимодействий. Например, снижение риска смерти/ИМ в течение 30 дней при раннем применении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было статистически значимым как у пациентов с заявленным намерением использовать опережающую терапию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, так и у пациентов, действительно ранее получавших </w:t>
      </w:r>
      <w:proofErr w:type="spellStart"/>
      <w:r w:rsidRPr="00761019">
        <w:rPr>
          <w:rStyle w:val="2"/>
          <w:sz w:val="24"/>
          <w:szCs w:val="24"/>
        </w:rPr>
        <w:t>клопидогрель</w:t>
      </w:r>
      <w:proofErr w:type="spellEnd"/>
      <w:r w:rsidRPr="00761019">
        <w:rPr>
          <w:rStyle w:val="2"/>
          <w:sz w:val="24"/>
          <w:szCs w:val="24"/>
        </w:rPr>
        <w:t xml:space="preserve">. Однако показатель взаимодействия между опережающим применением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и назначенным согласно рандомизации лечением не достигал статистической значимости; следовательно, эти результаты представляют собой основу гипотезы и требуют подтверждения в будущих исследованиях.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D620A5" w:rsidRDefault="008F1F16" w:rsidP="00FA1C57">
      <w:pPr>
        <w:rPr>
          <w:rFonts w:ascii="Times New Roman" w:hAnsi="Times New Roman"/>
          <w:sz w:val="24"/>
          <w:szCs w:val="24"/>
        </w:rPr>
      </w:pPr>
      <w:r w:rsidRPr="00D620A5">
        <w:rPr>
          <w:rStyle w:val="63"/>
          <w:bCs/>
          <w:sz w:val="24"/>
          <w:szCs w:val="24"/>
        </w:rPr>
        <w:t>Выводы</w:t>
      </w:r>
    </w:p>
    <w:p w:rsidR="008F1F16" w:rsidRPr="00761019" w:rsidRDefault="008F1F16" w:rsidP="00FA1C57">
      <w:pPr>
        <w:rPr>
          <w:rStyle w:val="2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Раннее </w:t>
      </w:r>
      <w:proofErr w:type="spellStart"/>
      <w:r w:rsidRPr="00761019">
        <w:rPr>
          <w:rStyle w:val="2"/>
          <w:sz w:val="24"/>
          <w:szCs w:val="24"/>
        </w:rPr>
        <w:t>предпроцедурное</w:t>
      </w:r>
      <w:proofErr w:type="spellEnd"/>
      <w:r w:rsidRPr="00761019">
        <w:rPr>
          <w:rStyle w:val="2"/>
          <w:sz w:val="24"/>
          <w:szCs w:val="24"/>
        </w:rPr>
        <w:t xml:space="preserve"> использование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у пациентов, которым проводится коронарная ангиография по поводу NSTE ОКС, не способствует улучшению краткосрочных результатов в отношении ишемии, однако может ассоциироваться со снижением риска ишемии в течение 30 дней после начала опережающей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. Добавление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повышает риск кровотечений, </w:t>
      </w:r>
      <w:r w:rsidRPr="00761019">
        <w:rPr>
          <w:rStyle w:val="2"/>
          <w:sz w:val="24"/>
          <w:szCs w:val="24"/>
        </w:rPr>
        <w:lastRenderedPageBreak/>
        <w:t xml:space="preserve">ассоциирующихся с ранним назначением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. Эти данные служат подтверждением концепции о ценности комбинированной </w:t>
      </w:r>
      <w:proofErr w:type="spellStart"/>
      <w:r w:rsidRPr="00761019">
        <w:rPr>
          <w:rStyle w:val="2"/>
          <w:sz w:val="24"/>
          <w:szCs w:val="24"/>
        </w:rPr>
        <w:t>антитромбоцитарной</w:t>
      </w:r>
      <w:proofErr w:type="spellEnd"/>
      <w:r w:rsidRPr="00761019">
        <w:rPr>
          <w:rStyle w:val="2"/>
          <w:sz w:val="24"/>
          <w:szCs w:val="24"/>
        </w:rPr>
        <w:t xml:space="preserve"> терапии и указывают на необходимость дальнейших исследований, которые позволят выделить группу пациентов, получающих максимальное преимущество от более интенсивного ингибирования тромбоцитов без значимого избыточного риска кровотечений.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D620A5" w:rsidRDefault="008F1F16" w:rsidP="00D620A5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42"/>
          <w:bCs/>
          <w:sz w:val="32"/>
          <w:szCs w:val="32"/>
        </w:rPr>
        <w:t>Благодарности</w:t>
      </w:r>
    </w:p>
    <w:p w:rsidR="008F1F16" w:rsidRPr="00761019" w:rsidRDefault="008F1F16" w:rsidP="00FA1C57">
      <w:pPr>
        <w:rPr>
          <w:rStyle w:val="80"/>
          <w:sz w:val="24"/>
          <w:szCs w:val="24"/>
        </w:rPr>
      </w:pPr>
      <w:r w:rsidRPr="00761019">
        <w:rPr>
          <w:rStyle w:val="80"/>
          <w:sz w:val="24"/>
          <w:szCs w:val="24"/>
        </w:rPr>
        <w:t>Мы благодарим Аманду Мак-</w:t>
      </w:r>
      <w:proofErr w:type="spellStart"/>
      <w:r w:rsidRPr="00761019">
        <w:rPr>
          <w:rStyle w:val="80"/>
          <w:sz w:val="24"/>
          <w:szCs w:val="24"/>
        </w:rPr>
        <w:t>Миллан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Amanda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McMillan</w:t>
      </w:r>
      <w:proofErr w:type="spellEnd"/>
      <w:r w:rsidRPr="00761019">
        <w:rPr>
          <w:rStyle w:val="80"/>
          <w:sz w:val="24"/>
          <w:szCs w:val="24"/>
        </w:rPr>
        <w:t>) за редакторскую поддержку при подготовке рукописи.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D620A5" w:rsidRDefault="008F1F16" w:rsidP="00D620A5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42"/>
          <w:bCs/>
          <w:sz w:val="32"/>
          <w:szCs w:val="32"/>
        </w:rPr>
        <w:t>Источники финансирования</w:t>
      </w:r>
    </w:p>
    <w:p w:rsidR="008F1F16" w:rsidRPr="00761019" w:rsidRDefault="008F1F16" w:rsidP="00FA1C57">
      <w:pPr>
        <w:rPr>
          <w:rStyle w:val="80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Исследование EARLY ACS и </w:t>
      </w:r>
      <w:r w:rsidR="00B670C4">
        <w:rPr>
          <w:rStyle w:val="80"/>
          <w:sz w:val="24"/>
          <w:szCs w:val="24"/>
        </w:rPr>
        <w:t>эта</w:t>
      </w:r>
      <w:r w:rsidRPr="00761019">
        <w:rPr>
          <w:rStyle w:val="80"/>
          <w:sz w:val="24"/>
          <w:szCs w:val="24"/>
        </w:rPr>
        <w:t xml:space="preserve"> работа финансировались за счет исследовательских грантов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Pharmaceuticals</w:t>
      </w:r>
      <w:proofErr w:type="spellEnd"/>
      <w:r w:rsidRPr="00761019">
        <w:rPr>
          <w:rStyle w:val="80"/>
          <w:sz w:val="24"/>
          <w:szCs w:val="24"/>
        </w:rPr>
        <w:t>.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D620A5" w:rsidRDefault="008F1F16" w:rsidP="00D620A5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42"/>
          <w:bCs/>
          <w:sz w:val="32"/>
          <w:szCs w:val="32"/>
        </w:rPr>
        <w:t>Раскрытие конфликтов интересов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80"/>
          <w:sz w:val="24"/>
          <w:szCs w:val="24"/>
        </w:rPr>
        <w:t xml:space="preserve">Доктор </w:t>
      </w:r>
      <w:proofErr w:type="spellStart"/>
      <w:r w:rsidRPr="00761019">
        <w:rPr>
          <w:rStyle w:val="80"/>
          <w:sz w:val="24"/>
          <w:szCs w:val="24"/>
        </w:rPr>
        <w:t>Ванг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Wang</w:t>
      </w:r>
      <w:proofErr w:type="spellEnd"/>
      <w:r w:rsidRPr="00761019">
        <w:rPr>
          <w:rStyle w:val="80"/>
          <w:sz w:val="24"/>
          <w:szCs w:val="24"/>
        </w:rPr>
        <w:t xml:space="preserve">) получил исследовательский грант от партнерства </w:t>
      </w:r>
      <w:proofErr w:type="spellStart"/>
      <w:r w:rsidRPr="00761019">
        <w:rPr>
          <w:rStyle w:val="80"/>
          <w:sz w:val="24"/>
          <w:szCs w:val="24"/>
        </w:rPr>
        <w:t>Bristol-Myers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Squibb</w:t>
      </w:r>
      <w:proofErr w:type="spellEnd"/>
      <w:r w:rsidRPr="00761019">
        <w:rPr>
          <w:rStyle w:val="80"/>
          <w:sz w:val="24"/>
          <w:szCs w:val="24"/>
        </w:rPr>
        <w:t xml:space="preserve">/ </w:t>
      </w:r>
      <w:proofErr w:type="spellStart"/>
      <w:r w:rsidRPr="00761019">
        <w:rPr>
          <w:rStyle w:val="80"/>
          <w:sz w:val="24"/>
          <w:szCs w:val="24"/>
        </w:rPr>
        <w:t>Sanofi</w:t>
      </w:r>
      <w:proofErr w:type="spellEnd"/>
      <w:r w:rsidRPr="00761019">
        <w:rPr>
          <w:rStyle w:val="80"/>
          <w:sz w:val="24"/>
          <w:szCs w:val="24"/>
        </w:rPr>
        <w:t xml:space="preserve">,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The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Medicines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Company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Heartscape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Canyon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Pharmaceuticals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Eli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Lilly</w:t>
      </w:r>
      <w:proofErr w:type="spellEnd"/>
      <w:r w:rsidRPr="00761019">
        <w:rPr>
          <w:rStyle w:val="80"/>
          <w:sz w:val="24"/>
          <w:szCs w:val="24"/>
        </w:rPr>
        <w:t>/</w:t>
      </w:r>
      <w:proofErr w:type="spellStart"/>
      <w:r w:rsidRPr="00761019">
        <w:rPr>
          <w:rStyle w:val="80"/>
          <w:sz w:val="24"/>
          <w:szCs w:val="24"/>
        </w:rPr>
        <w:t>Daiichi-Sankyo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Alliance</w:t>
      </w:r>
      <w:proofErr w:type="spellEnd"/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Трикоси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Tricoci</w:t>
      </w:r>
      <w:proofErr w:type="spellEnd"/>
      <w:r w:rsidRPr="00761019">
        <w:rPr>
          <w:rStyle w:val="80"/>
          <w:sz w:val="24"/>
          <w:szCs w:val="24"/>
        </w:rPr>
        <w:t xml:space="preserve">) получал исследовательские гранты от компании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 через институт клинических исследований им. Дьюка и входил в состав консультативного совета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Джулиано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Giugliano</w:t>
      </w:r>
      <w:proofErr w:type="spellEnd"/>
      <w:r w:rsidRPr="00761019">
        <w:rPr>
          <w:rStyle w:val="80"/>
          <w:sz w:val="24"/>
          <w:szCs w:val="24"/>
        </w:rPr>
        <w:t xml:space="preserve">) получил грант на исследования от компаний </w:t>
      </w:r>
      <w:proofErr w:type="spellStart"/>
      <w:r w:rsidRPr="00761019">
        <w:rPr>
          <w:rStyle w:val="80"/>
          <w:sz w:val="24"/>
          <w:szCs w:val="24"/>
        </w:rPr>
        <w:t>Daiichi-Sankyo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and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, гонорары от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Bristol-Myers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Sanofi</w:t>
      </w:r>
      <w:proofErr w:type="spellEnd"/>
      <w:r w:rsidRPr="00761019">
        <w:rPr>
          <w:rStyle w:val="80"/>
          <w:sz w:val="24"/>
          <w:szCs w:val="24"/>
        </w:rPr>
        <w:t xml:space="preserve">- </w:t>
      </w:r>
      <w:proofErr w:type="spellStart"/>
      <w:r w:rsidRPr="00761019">
        <w:rPr>
          <w:rStyle w:val="80"/>
          <w:sz w:val="24"/>
          <w:szCs w:val="24"/>
        </w:rPr>
        <w:t>Aventis</w:t>
      </w:r>
      <w:proofErr w:type="spellEnd"/>
      <w:r w:rsidRPr="00761019">
        <w:rPr>
          <w:rStyle w:val="80"/>
          <w:sz w:val="24"/>
          <w:szCs w:val="24"/>
        </w:rPr>
        <w:t xml:space="preserve"> и является членом консультативного совета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Займер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Zeymer</w:t>
      </w:r>
      <w:proofErr w:type="spellEnd"/>
      <w:r w:rsidRPr="00761019">
        <w:rPr>
          <w:rStyle w:val="80"/>
          <w:sz w:val="24"/>
          <w:szCs w:val="24"/>
        </w:rPr>
        <w:t xml:space="preserve">) получил гранты на исследования от компании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(ныне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>). Доктор Харрингтон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Harrington</w:t>
      </w:r>
      <w:proofErr w:type="spellEnd"/>
      <w:r w:rsidRPr="00761019">
        <w:rPr>
          <w:rStyle w:val="80"/>
          <w:sz w:val="24"/>
          <w:szCs w:val="24"/>
        </w:rPr>
        <w:t xml:space="preserve">) получил финансовую поддержку для исследований и консультации от компании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(ныне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). Полный перечень финансовых взаимосвязей доктора Харрингтона с фармацевтической промышленностью приведен по ссылке: </w:t>
      </w:r>
      <w:r w:rsidRPr="00761019">
        <w:rPr>
          <w:rStyle w:val="Hyperlink"/>
          <w:rFonts w:ascii="Times New Roman" w:hAnsi="Times New Roman"/>
          <w:sz w:val="24"/>
          <w:szCs w:val="24"/>
        </w:rPr>
        <w:t>http://www.dcri.duke.edu/research/coi.jsp</w:t>
      </w:r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Монталеско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Montalescot</w:t>
      </w:r>
      <w:proofErr w:type="spellEnd"/>
      <w:r w:rsidRPr="00761019">
        <w:rPr>
          <w:rStyle w:val="80"/>
          <w:sz w:val="24"/>
          <w:szCs w:val="24"/>
        </w:rPr>
        <w:t xml:space="preserve">) получил гранты на исследования (для своего учреждения) от компаний </w:t>
      </w:r>
      <w:proofErr w:type="spellStart"/>
      <w:r w:rsidRPr="00761019">
        <w:rPr>
          <w:rStyle w:val="80"/>
          <w:sz w:val="24"/>
          <w:szCs w:val="24"/>
        </w:rPr>
        <w:t>Bristol-Myers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Squibb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Boston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Scientific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Centocor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Cordis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Eli-Lilly</w:t>
      </w:r>
      <w:proofErr w:type="spellEnd"/>
      <w:r w:rsidRPr="00761019">
        <w:rPr>
          <w:rStyle w:val="80"/>
          <w:sz w:val="24"/>
          <w:szCs w:val="24"/>
        </w:rPr>
        <w:t xml:space="preserve">, Французской кардиологической федерации, Фонда Франции, </w:t>
      </w:r>
      <w:proofErr w:type="spellStart"/>
      <w:r w:rsidRPr="00761019">
        <w:rPr>
          <w:rStyle w:val="80"/>
          <w:sz w:val="24"/>
          <w:szCs w:val="24"/>
        </w:rPr>
        <w:t>Guerbet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Medical</w:t>
      </w:r>
      <w:proofErr w:type="spellEnd"/>
      <w:r w:rsidRPr="00761019">
        <w:rPr>
          <w:rStyle w:val="80"/>
          <w:sz w:val="24"/>
          <w:szCs w:val="24"/>
        </w:rPr>
        <w:t xml:space="preserve">, INSERM, ITC </w:t>
      </w:r>
      <w:proofErr w:type="spellStart"/>
      <w:r w:rsidRPr="00761019">
        <w:rPr>
          <w:rStyle w:val="80"/>
          <w:sz w:val="24"/>
          <w:szCs w:val="24"/>
        </w:rPr>
        <w:t>Edison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Medtronic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Pfizer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Sanofi-Aventis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Group</w:t>
      </w:r>
      <w:proofErr w:type="spellEnd"/>
      <w:r w:rsidRPr="00761019">
        <w:rPr>
          <w:rStyle w:val="80"/>
          <w:sz w:val="24"/>
          <w:szCs w:val="24"/>
        </w:rPr>
        <w:t xml:space="preserve"> и Французского кардиологического общества, а также осуществляет консультации и получает плату за чтение лекций для компаний </w:t>
      </w:r>
      <w:proofErr w:type="spellStart"/>
      <w:r w:rsidRPr="00761019">
        <w:rPr>
          <w:rStyle w:val="80"/>
          <w:sz w:val="24"/>
          <w:szCs w:val="24"/>
        </w:rPr>
        <w:t>Accumetrics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Astra-Zeneca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Bayer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Boehringer-Ingelheim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Bristol</w:t>
      </w:r>
      <w:proofErr w:type="spellEnd"/>
      <w:r w:rsidRPr="00761019">
        <w:rPr>
          <w:rStyle w:val="80"/>
          <w:sz w:val="24"/>
          <w:szCs w:val="24"/>
        </w:rPr>
        <w:t xml:space="preserve">- </w:t>
      </w:r>
      <w:proofErr w:type="spellStart"/>
      <w:r w:rsidRPr="00761019">
        <w:rPr>
          <w:rStyle w:val="80"/>
          <w:sz w:val="24"/>
          <w:szCs w:val="24"/>
        </w:rPr>
        <w:t>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Squibb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Daiichi-Sankyo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Eisai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Eli-Lilly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Menarini</w:t>
      </w:r>
      <w:proofErr w:type="spellEnd"/>
      <w:r w:rsidRPr="00761019">
        <w:rPr>
          <w:rStyle w:val="80"/>
          <w:sz w:val="24"/>
          <w:szCs w:val="24"/>
        </w:rPr>
        <w:t xml:space="preserve">, MSD, </w:t>
      </w:r>
      <w:proofErr w:type="spellStart"/>
      <w:r w:rsidRPr="00761019">
        <w:rPr>
          <w:rStyle w:val="80"/>
          <w:sz w:val="24"/>
          <w:szCs w:val="24"/>
        </w:rPr>
        <w:t>Novartis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Portola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Sanofi-Aventis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Group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The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Medicines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Company</w:t>
      </w:r>
      <w:proofErr w:type="spellEnd"/>
      <w:r w:rsidRPr="00761019">
        <w:rPr>
          <w:rStyle w:val="80"/>
          <w:sz w:val="24"/>
          <w:szCs w:val="24"/>
        </w:rPr>
        <w:t>. Доктор Джеймс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James</w:t>
      </w:r>
      <w:proofErr w:type="spellEnd"/>
      <w:r w:rsidRPr="00761019">
        <w:rPr>
          <w:rStyle w:val="80"/>
          <w:sz w:val="24"/>
          <w:szCs w:val="24"/>
        </w:rPr>
        <w:t xml:space="preserve">) получил гранты на исследования и гонорар лектора от компаний </w:t>
      </w:r>
      <w:proofErr w:type="spellStart"/>
      <w:r w:rsidRPr="00761019">
        <w:rPr>
          <w:rStyle w:val="80"/>
          <w:sz w:val="24"/>
          <w:szCs w:val="24"/>
        </w:rPr>
        <w:t>Astra-Zeneca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Sanofi-Aventis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Bristol-Myers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Squibb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Eli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Lilly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. Доктор Ван де </w:t>
      </w:r>
      <w:proofErr w:type="spellStart"/>
      <w:r w:rsidRPr="00761019">
        <w:rPr>
          <w:rStyle w:val="80"/>
          <w:sz w:val="24"/>
          <w:szCs w:val="24"/>
        </w:rPr>
        <w:t>Верф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Van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de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Werf</w:t>
      </w:r>
      <w:proofErr w:type="spellEnd"/>
      <w:r w:rsidRPr="00761019">
        <w:rPr>
          <w:rStyle w:val="80"/>
          <w:sz w:val="24"/>
          <w:szCs w:val="24"/>
        </w:rPr>
        <w:t xml:space="preserve">) получил гранты на исследования от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(ныне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) и </w:t>
      </w:r>
      <w:proofErr w:type="spellStart"/>
      <w:r w:rsidRPr="00761019">
        <w:rPr>
          <w:rStyle w:val="80"/>
          <w:sz w:val="24"/>
          <w:szCs w:val="24"/>
        </w:rPr>
        <w:t>Roche</w:t>
      </w:r>
      <w:proofErr w:type="spellEnd"/>
      <w:r w:rsidRPr="00761019">
        <w:rPr>
          <w:rStyle w:val="80"/>
          <w:sz w:val="24"/>
          <w:szCs w:val="24"/>
        </w:rPr>
        <w:t xml:space="preserve">, участвует в работе консультативного совета и получает лекторский гонорар от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Roche</w:t>
      </w:r>
      <w:proofErr w:type="spellEnd"/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Армстронг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Armstrong</w:t>
      </w:r>
      <w:proofErr w:type="spellEnd"/>
      <w:r w:rsidRPr="00761019">
        <w:rPr>
          <w:rStyle w:val="80"/>
          <w:sz w:val="24"/>
          <w:szCs w:val="24"/>
        </w:rPr>
        <w:t xml:space="preserve">) осуществлял консультации и оказывал иные услуги, послужившие источником личного дохода, для компаний </w:t>
      </w:r>
      <w:proofErr w:type="spellStart"/>
      <w:r w:rsidRPr="00761019">
        <w:rPr>
          <w:rStyle w:val="80"/>
          <w:sz w:val="24"/>
          <w:szCs w:val="24"/>
        </w:rPr>
        <w:t>Sanofi-Aventis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Bristol-Myers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Squibb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Canada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Frosst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Canada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Ltd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Abbott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Laboratories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GlaxoSmithKline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Bristol-Myers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Squibb</w:t>
      </w:r>
      <w:proofErr w:type="spellEnd"/>
      <w:r w:rsidRPr="00761019">
        <w:rPr>
          <w:rStyle w:val="80"/>
          <w:sz w:val="24"/>
          <w:szCs w:val="24"/>
        </w:rPr>
        <w:t>/</w:t>
      </w:r>
      <w:proofErr w:type="spellStart"/>
      <w:r w:rsidRPr="00761019">
        <w:rPr>
          <w:rStyle w:val="80"/>
          <w:sz w:val="24"/>
          <w:szCs w:val="24"/>
        </w:rPr>
        <w:t>Pfizer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Regado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Biosciences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r>
        <w:rPr>
          <w:rStyle w:val="80"/>
          <w:sz w:val="24"/>
          <w:szCs w:val="24"/>
        </w:rPr>
        <w:t>и</w:t>
      </w:r>
      <w:r w:rsidRPr="00761019">
        <w:rPr>
          <w:rStyle w:val="80"/>
          <w:sz w:val="24"/>
          <w:szCs w:val="24"/>
        </w:rPr>
        <w:t xml:space="preserve"> F. </w:t>
      </w:r>
      <w:proofErr w:type="spellStart"/>
      <w:r w:rsidRPr="00761019">
        <w:rPr>
          <w:rStyle w:val="80"/>
          <w:sz w:val="24"/>
          <w:szCs w:val="24"/>
        </w:rPr>
        <w:t>Hoffmann-La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Roche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Ltd</w:t>
      </w:r>
      <w:proofErr w:type="spellEnd"/>
      <w:r w:rsidRPr="00761019">
        <w:rPr>
          <w:rStyle w:val="80"/>
          <w:sz w:val="24"/>
          <w:szCs w:val="24"/>
        </w:rPr>
        <w:t xml:space="preserve">, получил гранты на исследования или заключил контракты с компаниями </w:t>
      </w:r>
      <w:proofErr w:type="spellStart"/>
      <w:r w:rsidRPr="00761019">
        <w:rPr>
          <w:rStyle w:val="80"/>
          <w:sz w:val="24"/>
          <w:szCs w:val="24"/>
        </w:rPr>
        <w:t>Boehringer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Ingelheim</w:t>
      </w:r>
      <w:proofErr w:type="spellEnd"/>
      <w:r w:rsidRPr="00761019">
        <w:rPr>
          <w:rStyle w:val="80"/>
          <w:sz w:val="24"/>
          <w:szCs w:val="24"/>
        </w:rPr>
        <w:t xml:space="preserve"> (Канада) </w:t>
      </w:r>
      <w:proofErr w:type="spellStart"/>
      <w:r w:rsidRPr="00761019">
        <w:rPr>
          <w:rStyle w:val="80"/>
          <w:sz w:val="24"/>
          <w:szCs w:val="24"/>
        </w:rPr>
        <w:t>Ltd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Sanofi-Aventis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Canada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Eli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Lilly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Research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Institute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Scios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/ </w:t>
      </w:r>
      <w:proofErr w:type="spellStart"/>
      <w:r w:rsidRPr="00761019">
        <w:rPr>
          <w:rStyle w:val="80"/>
          <w:sz w:val="24"/>
          <w:szCs w:val="24"/>
        </w:rPr>
        <w:t>Ortho-Biotech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GlaxoSmithKline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Portola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Pharmaceutical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Uppsala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Clinical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lastRenderedPageBreak/>
        <w:t>Research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Center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AstraZeneca</w:t>
      </w:r>
      <w:proofErr w:type="spellEnd"/>
      <w:r w:rsidRPr="00761019">
        <w:rPr>
          <w:rStyle w:val="80"/>
          <w:sz w:val="24"/>
          <w:szCs w:val="24"/>
        </w:rPr>
        <w:t xml:space="preserve">, а компания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Company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 частично оплачивает его университетскую заработную плату и/или исследовательские проекты. Доктор </w:t>
      </w:r>
      <w:proofErr w:type="spellStart"/>
      <w:r w:rsidRPr="00761019">
        <w:rPr>
          <w:rStyle w:val="80"/>
          <w:sz w:val="24"/>
          <w:szCs w:val="24"/>
        </w:rPr>
        <w:t>Браунвальд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Braunwald</w:t>
      </w:r>
      <w:proofErr w:type="spellEnd"/>
      <w:r w:rsidRPr="00761019">
        <w:rPr>
          <w:rStyle w:val="80"/>
          <w:sz w:val="24"/>
          <w:szCs w:val="24"/>
        </w:rPr>
        <w:t xml:space="preserve">) является председателем исследовательской группы TIMI в больнице </w:t>
      </w:r>
      <w:proofErr w:type="spellStart"/>
      <w:r w:rsidRPr="00761019">
        <w:rPr>
          <w:rStyle w:val="80"/>
          <w:sz w:val="24"/>
          <w:szCs w:val="24"/>
        </w:rPr>
        <w:t>Брайам</w:t>
      </w:r>
      <w:proofErr w:type="spellEnd"/>
      <w:r w:rsidRPr="00761019">
        <w:rPr>
          <w:rStyle w:val="80"/>
          <w:sz w:val="24"/>
          <w:szCs w:val="24"/>
        </w:rPr>
        <w:t>-энд-</w:t>
      </w:r>
      <w:proofErr w:type="spellStart"/>
      <w:r w:rsidRPr="00761019">
        <w:rPr>
          <w:rStyle w:val="80"/>
          <w:sz w:val="24"/>
          <w:szCs w:val="24"/>
        </w:rPr>
        <w:t>Уимин</w:t>
      </w:r>
      <w:proofErr w:type="spellEnd"/>
      <w:r w:rsidRPr="00761019">
        <w:rPr>
          <w:rStyle w:val="80"/>
          <w:sz w:val="24"/>
          <w:szCs w:val="24"/>
        </w:rPr>
        <w:t>, которая получает (или получала в течение последних 24 месяцев) поддержку грантами для ис</w:t>
      </w:r>
      <w:r>
        <w:rPr>
          <w:rStyle w:val="80"/>
          <w:sz w:val="24"/>
          <w:szCs w:val="24"/>
        </w:rPr>
        <w:t>с</w:t>
      </w:r>
      <w:r w:rsidRPr="00761019">
        <w:rPr>
          <w:rStyle w:val="80"/>
          <w:sz w:val="24"/>
          <w:szCs w:val="24"/>
        </w:rPr>
        <w:t>ледовательской группы TIMI</w:t>
      </w:r>
      <w:r>
        <w:rPr>
          <w:rStyle w:val="80"/>
          <w:sz w:val="24"/>
          <w:szCs w:val="24"/>
        </w:rPr>
        <w:t xml:space="preserve"> </w:t>
      </w:r>
      <w:r w:rsidRPr="00761019">
        <w:rPr>
          <w:rStyle w:val="80"/>
          <w:sz w:val="24"/>
          <w:szCs w:val="24"/>
        </w:rPr>
        <w:t>от следующих фармацевтических компаний (во всех случаях сумма составила &gt;10</w:t>
      </w:r>
      <w:r>
        <w:rPr>
          <w:rStyle w:val="80"/>
          <w:sz w:val="24"/>
          <w:szCs w:val="24"/>
        </w:rPr>
        <w:t> </w:t>
      </w:r>
      <w:r w:rsidRPr="00761019">
        <w:rPr>
          <w:rStyle w:val="80"/>
          <w:sz w:val="24"/>
          <w:szCs w:val="24"/>
        </w:rPr>
        <w:t xml:space="preserve">000 долларов): </w:t>
      </w:r>
      <w:proofErr w:type="spellStart"/>
      <w:r w:rsidRPr="00761019">
        <w:rPr>
          <w:rStyle w:val="80"/>
          <w:sz w:val="24"/>
          <w:szCs w:val="24"/>
        </w:rPr>
        <w:t>Eli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Lilly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Research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Institute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Daiichi-Sankyo</w:t>
      </w:r>
      <w:proofErr w:type="spellEnd"/>
      <w:r w:rsidRPr="00761019">
        <w:rPr>
          <w:rStyle w:val="80"/>
          <w:sz w:val="24"/>
          <w:szCs w:val="24"/>
        </w:rPr>
        <w:t xml:space="preserve">. Кроме того, доктор </w:t>
      </w:r>
      <w:proofErr w:type="spellStart"/>
      <w:r w:rsidRPr="00761019">
        <w:rPr>
          <w:rStyle w:val="80"/>
          <w:sz w:val="24"/>
          <w:szCs w:val="24"/>
        </w:rPr>
        <w:t>Браунвальд</w:t>
      </w:r>
      <w:proofErr w:type="spellEnd"/>
      <w:r w:rsidRPr="00761019">
        <w:rPr>
          <w:rStyle w:val="80"/>
          <w:sz w:val="24"/>
          <w:szCs w:val="24"/>
        </w:rPr>
        <w:t xml:space="preserve"> периодически (2-3 раза в год) участвует в проведении конференций, заседаний членов консультативного совета или консультациях, проводимых следующими компаниями, от которых он получает гонорары (всегда в сумме менее 10</w:t>
      </w:r>
      <w:r>
        <w:rPr>
          <w:rStyle w:val="80"/>
          <w:sz w:val="24"/>
          <w:szCs w:val="24"/>
        </w:rPr>
        <w:t> </w:t>
      </w:r>
      <w:r w:rsidRPr="00761019">
        <w:rPr>
          <w:rStyle w:val="80"/>
          <w:sz w:val="24"/>
          <w:szCs w:val="24"/>
        </w:rPr>
        <w:t xml:space="preserve">000 долларов США) и компенсацию транспортных расходов: </w:t>
      </w:r>
      <w:proofErr w:type="spellStart"/>
      <w:r w:rsidRPr="00761019">
        <w:rPr>
          <w:rStyle w:val="80"/>
          <w:sz w:val="24"/>
          <w:szCs w:val="24"/>
        </w:rPr>
        <w:t>Daiichi-Sankyo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Eli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Lilly</w:t>
      </w:r>
      <w:proofErr w:type="spellEnd"/>
      <w:r w:rsidRPr="00761019">
        <w:rPr>
          <w:rStyle w:val="80"/>
          <w:sz w:val="24"/>
          <w:szCs w:val="24"/>
        </w:rPr>
        <w:t xml:space="preserve">,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. и </w:t>
      </w:r>
      <w:proofErr w:type="spellStart"/>
      <w:r w:rsidRPr="00761019">
        <w:rPr>
          <w:rStyle w:val="80"/>
          <w:sz w:val="24"/>
          <w:szCs w:val="24"/>
        </w:rPr>
        <w:t>Schering</w:t>
      </w:r>
      <w:proofErr w:type="spellEnd"/>
      <w:r w:rsidRPr="00761019">
        <w:rPr>
          <w:rStyle w:val="80"/>
          <w:sz w:val="24"/>
          <w:szCs w:val="24"/>
        </w:rPr>
        <w:t xml:space="preserve">- </w:t>
      </w:r>
      <w:proofErr w:type="spellStart"/>
      <w:r w:rsidRPr="00761019">
        <w:rPr>
          <w:rStyle w:val="80"/>
          <w:sz w:val="24"/>
          <w:szCs w:val="24"/>
        </w:rPr>
        <w:t>Plough</w:t>
      </w:r>
      <w:proofErr w:type="spellEnd"/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Калифф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Califf</w:t>
      </w:r>
      <w:proofErr w:type="spellEnd"/>
      <w:r w:rsidRPr="00761019">
        <w:rPr>
          <w:rStyle w:val="80"/>
          <w:sz w:val="24"/>
          <w:szCs w:val="24"/>
        </w:rPr>
        <w:t xml:space="preserve">) получил финансовую помощь для проведения исследования и осуществляет консультации для компании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(ныне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; все средства, полученные за консультации, переданы некоммерческим организациям). Полный перечень финансовых взаимосвязей доктора </w:t>
      </w:r>
      <w:proofErr w:type="spellStart"/>
      <w:r w:rsidRPr="00761019">
        <w:rPr>
          <w:rStyle w:val="80"/>
          <w:sz w:val="24"/>
          <w:szCs w:val="24"/>
        </w:rPr>
        <w:t>Калиффа</w:t>
      </w:r>
      <w:proofErr w:type="spellEnd"/>
      <w:r w:rsidRPr="00761019">
        <w:rPr>
          <w:rStyle w:val="80"/>
          <w:sz w:val="24"/>
          <w:szCs w:val="24"/>
        </w:rPr>
        <w:t xml:space="preserve"> с фармацевтической промышленностью приведен по ссылке: </w:t>
      </w:r>
      <w:r w:rsidRPr="00761019">
        <w:rPr>
          <w:rStyle w:val="Hyperlink"/>
          <w:rFonts w:ascii="Times New Roman" w:hAnsi="Times New Roman"/>
          <w:sz w:val="24"/>
          <w:szCs w:val="24"/>
        </w:rPr>
        <w:t>http://www.dcri.duke.edu/</w:t>
      </w:r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research</w:t>
      </w:r>
      <w:proofErr w:type="spellEnd"/>
      <w:r w:rsidRPr="00761019">
        <w:rPr>
          <w:rStyle w:val="80"/>
          <w:sz w:val="24"/>
          <w:szCs w:val="24"/>
        </w:rPr>
        <w:t>/</w:t>
      </w:r>
      <w:proofErr w:type="spellStart"/>
      <w:r w:rsidRPr="00761019">
        <w:rPr>
          <w:rStyle w:val="80"/>
          <w:sz w:val="24"/>
          <w:szCs w:val="24"/>
        </w:rPr>
        <w:t>coi.jsp</w:t>
      </w:r>
      <w:proofErr w:type="spellEnd"/>
      <w:r w:rsidRPr="00761019">
        <w:rPr>
          <w:rStyle w:val="80"/>
          <w:sz w:val="24"/>
          <w:szCs w:val="24"/>
        </w:rPr>
        <w:t xml:space="preserve">. Доктор </w:t>
      </w:r>
      <w:proofErr w:type="spellStart"/>
      <w:r w:rsidRPr="00761019">
        <w:rPr>
          <w:rStyle w:val="80"/>
          <w:sz w:val="24"/>
          <w:szCs w:val="24"/>
        </w:rPr>
        <w:t>Ньюбай</w:t>
      </w:r>
      <w:proofErr w:type="spellEnd"/>
      <w:r w:rsidRPr="00761019">
        <w:rPr>
          <w:rStyle w:val="80"/>
          <w:sz w:val="24"/>
          <w:szCs w:val="24"/>
        </w:rPr>
        <w:t xml:space="preserve"> (</w:t>
      </w:r>
      <w:proofErr w:type="spellStart"/>
      <w:r w:rsidRPr="00761019">
        <w:rPr>
          <w:rStyle w:val="80"/>
          <w:sz w:val="24"/>
          <w:szCs w:val="24"/>
        </w:rPr>
        <w:t>Dr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Newby</w:t>
      </w:r>
      <w:proofErr w:type="spellEnd"/>
      <w:r w:rsidRPr="00761019">
        <w:rPr>
          <w:rStyle w:val="80"/>
          <w:sz w:val="24"/>
          <w:szCs w:val="24"/>
        </w:rPr>
        <w:t xml:space="preserve">) получил гранты на исследования от компаний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 и </w:t>
      </w:r>
      <w:proofErr w:type="spellStart"/>
      <w:r w:rsidRPr="00761019">
        <w:rPr>
          <w:rStyle w:val="80"/>
          <w:sz w:val="24"/>
          <w:szCs w:val="24"/>
        </w:rPr>
        <w:t>Merck</w:t>
      </w:r>
      <w:proofErr w:type="spellEnd"/>
      <w:r w:rsidRPr="00761019">
        <w:rPr>
          <w:rStyle w:val="80"/>
          <w:sz w:val="24"/>
          <w:szCs w:val="24"/>
        </w:rPr>
        <w:t xml:space="preserve"> &amp; </w:t>
      </w:r>
      <w:proofErr w:type="spellStart"/>
      <w:r w:rsidRPr="00761019">
        <w:rPr>
          <w:rStyle w:val="80"/>
          <w:sz w:val="24"/>
          <w:szCs w:val="24"/>
        </w:rPr>
        <w:t>Co</w:t>
      </w:r>
      <w:proofErr w:type="spellEnd"/>
      <w:r w:rsidRPr="00761019">
        <w:rPr>
          <w:rStyle w:val="80"/>
          <w:sz w:val="24"/>
          <w:szCs w:val="24"/>
        </w:rPr>
        <w:t xml:space="preserve"> </w:t>
      </w:r>
      <w:proofErr w:type="spellStart"/>
      <w:r w:rsidRPr="00761019">
        <w:rPr>
          <w:rStyle w:val="80"/>
          <w:sz w:val="24"/>
          <w:szCs w:val="24"/>
        </w:rPr>
        <w:t>Inc</w:t>
      </w:r>
      <w:proofErr w:type="spellEnd"/>
      <w:r w:rsidRPr="00761019">
        <w:rPr>
          <w:rStyle w:val="80"/>
          <w:sz w:val="24"/>
          <w:szCs w:val="24"/>
        </w:rPr>
        <w:t xml:space="preserve"> через Институт клинических исследований им. Дьюка и гонорары за консультации от компании </w:t>
      </w:r>
      <w:proofErr w:type="spellStart"/>
      <w:r w:rsidRPr="00761019">
        <w:rPr>
          <w:rStyle w:val="80"/>
          <w:sz w:val="24"/>
          <w:szCs w:val="24"/>
        </w:rPr>
        <w:t>Schering-Plough</w:t>
      </w:r>
      <w:proofErr w:type="spellEnd"/>
      <w:r w:rsidRPr="00761019">
        <w:rPr>
          <w:rStyle w:val="80"/>
          <w:sz w:val="24"/>
          <w:szCs w:val="24"/>
        </w:rPr>
        <w:t xml:space="preserve">. Полный перечень финансовых взаимосвязей доктора </w:t>
      </w:r>
      <w:proofErr w:type="spellStart"/>
      <w:r w:rsidRPr="00761019">
        <w:rPr>
          <w:rStyle w:val="80"/>
          <w:sz w:val="24"/>
          <w:szCs w:val="24"/>
        </w:rPr>
        <w:t>Ньюбай</w:t>
      </w:r>
      <w:proofErr w:type="spellEnd"/>
      <w:r w:rsidRPr="00761019">
        <w:rPr>
          <w:rStyle w:val="80"/>
          <w:sz w:val="24"/>
          <w:szCs w:val="24"/>
        </w:rPr>
        <w:t xml:space="preserve"> с фармацевтической промышленностью приведен по ссылке: </w:t>
      </w:r>
      <w:r w:rsidRPr="00761019">
        <w:rPr>
          <w:rStyle w:val="Hyperlink"/>
          <w:rFonts w:ascii="Times New Roman" w:hAnsi="Times New Roman"/>
          <w:sz w:val="24"/>
          <w:szCs w:val="24"/>
        </w:rPr>
        <w:t>http://www.dcri.duke.edu/research/coi.jsp</w:t>
      </w:r>
      <w:r w:rsidRPr="00761019">
        <w:rPr>
          <w:rStyle w:val="80"/>
          <w:sz w:val="24"/>
          <w:szCs w:val="24"/>
        </w:rPr>
        <w:t xml:space="preserve">. Дж. Уайт (J. </w:t>
      </w:r>
      <w:proofErr w:type="spellStart"/>
      <w:r w:rsidRPr="00761019">
        <w:rPr>
          <w:rStyle w:val="80"/>
          <w:sz w:val="24"/>
          <w:szCs w:val="24"/>
        </w:rPr>
        <w:t>White</w:t>
      </w:r>
      <w:proofErr w:type="spellEnd"/>
      <w:r w:rsidRPr="00761019">
        <w:rPr>
          <w:rStyle w:val="80"/>
          <w:sz w:val="24"/>
          <w:szCs w:val="24"/>
        </w:rPr>
        <w:t>) заявил об отсутстви</w:t>
      </w:r>
      <w:r>
        <w:rPr>
          <w:rStyle w:val="80"/>
          <w:sz w:val="24"/>
          <w:szCs w:val="24"/>
        </w:rPr>
        <w:t>и</w:t>
      </w:r>
      <w:r w:rsidRPr="00761019">
        <w:rPr>
          <w:rStyle w:val="80"/>
          <w:sz w:val="24"/>
          <w:szCs w:val="24"/>
        </w:rPr>
        <w:t xml:space="preserve"> конфликтов интересов.</w:t>
      </w:r>
    </w:p>
    <w:p w:rsidR="008F1F16" w:rsidRPr="00761019" w:rsidRDefault="008F1F16" w:rsidP="00FA1C57">
      <w:pPr>
        <w:rPr>
          <w:rStyle w:val="42"/>
          <w:b w:val="0"/>
          <w:sz w:val="24"/>
          <w:szCs w:val="24"/>
        </w:rPr>
      </w:pPr>
    </w:p>
    <w:p w:rsidR="008F1F16" w:rsidRPr="00D620A5" w:rsidRDefault="008F1F16" w:rsidP="00FA1C57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42"/>
          <w:bCs/>
          <w:sz w:val="32"/>
          <w:szCs w:val="32"/>
        </w:rPr>
        <w:t>Литература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D620A5" w:rsidRDefault="008F1F16" w:rsidP="00D620A5">
      <w:pPr>
        <w:jc w:val="center"/>
        <w:rPr>
          <w:rFonts w:ascii="Times New Roman" w:hAnsi="Times New Roman"/>
          <w:sz w:val="32"/>
          <w:szCs w:val="32"/>
        </w:rPr>
      </w:pPr>
      <w:r w:rsidRPr="00D620A5">
        <w:rPr>
          <w:rStyle w:val="100"/>
          <w:bCs/>
          <w:sz w:val="32"/>
          <w:szCs w:val="32"/>
        </w:rPr>
        <w:t>КЛИНИЧЕСКИЕ ПЕРСПЕКТИВЫ</w:t>
      </w: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</w:p>
    <w:p w:rsidR="008F1F16" w:rsidRPr="00761019" w:rsidRDefault="008F1F16" w:rsidP="00FA1C57">
      <w:pPr>
        <w:rPr>
          <w:rFonts w:ascii="Times New Roman" w:hAnsi="Times New Roman"/>
          <w:sz w:val="24"/>
          <w:szCs w:val="24"/>
        </w:rPr>
      </w:pPr>
      <w:r w:rsidRPr="00761019">
        <w:rPr>
          <w:rStyle w:val="2"/>
          <w:sz w:val="24"/>
          <w:szCs w:val="24"/>
        </w:rPr>
        <w:t xml:space="preserve">По данным исследования Раннее ингибирование гликопротеина </w:t>
      </w:r>
      <w:proofErr w:type="spellStart"/>
      <w:r w:rsidRPr="00761019">
        <w:rPr>
          <w:rStyle w:val="2"/>
          <w:sz w:val="24"/>
          <w:szCs w:val="24"/>
        </w:rPr>
        <w:t>IIb</w:t>
      </w:r>
      <w:proofErr w:type="spellEnd"/>
      <w:r w:rsidRPr="00761019">
        <w:rPr>
          <w:rStyle w:val="2"/>
          <w:sz w:val="24"/>
          <w:szCs w:val="24"/>
        </w:rPr>
        <w:t>/</w:t>
      </w:r>
      <w:proofErr w:type="spellStart"/>
      <w:r w:rsidRPr="00761019">
        <w:rPr>
          <w:rStyle w:val="2"/>
          <w:sz w:val="24"/>
          <w:szCs w:val="24"/>
        </w:rPr>
        <w:t>IIIa</w:t>
      </w:r>
      <w:proofErr w:type="spellEnd"/>
      <w:r w:rsidRPr="00761019">
        <w:rPr>
          <w:rStyle w:val="2"/>
          <w:sz w:val="24"/>
          <w:szCs w:val="24"/>
        </w:rPr>
        <w:t xml:space="preserve"> у пациентов с острым коронарным синдромом без подъема сегмента ST (EARLY ACS), рутинное раннее применение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до ангиографии не имело превосходства перед отсроченным выборочным его использованием во время </w:t>
      </w:r>
      <w:proofErr w:type="spellStart"/>
      <w:r w:rsidRPr="00761019">
        <w:rPr>
          <w:rStyle w:val="2"/>
          <w:sz w:val="24"/>
          <w:szCs w:val="24"/>
        </w:rPr>
        <w:t>чрескожного</w:t>
      </w:r>
      <w:proofErr w:type="spellEnd"/>
      <w:r w:rsidRPr="00761019">
        <w:rPr>
          <w:rStyle w:val="2"/>
          <w:sz w:val="24"/>
          <w:szCs w:val="24"/>
        </w:rPr>
        <w:t xml:space="preserve"> коронарного вмешательства, но сопровождалось повышением риска кровотечений. Эффективность и безопасность раннего применения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на фоне опережающего применения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неизвестны. В исследовании у 9166 пациентов с острым коронарным синдромом без подъема сегмента ST</w:t>
      </w:r>
      <w:r>
        <w:rPr>
          <w:rStyle w:val="2"/>
          <w:sz w:val="24"/>
          <w:szCs w:val="24"/>
        </w:rPr>
        <w:t>,</w:t>
      </w:r>
      <w:r w:rsidRPr="00761019">
        <w:rPr>
          <w:rStyle w:val="2"/>
          <w:sz w:val="24"/>
          <w:szCs w:val="24"/>
        </w:rPr>
        <w:t xml:space="preserve"> которым проводилась коронарная ангиография в рамках исследования EARLY ACS, мы обнаружили, что раннее </w:t>
      </w:r>
      <w:proofErr w:type="spellStart"/>
      <w:r w:rsidRPr="00761019">
        <w:rPr>
          <w:rStyle w:val="2"/>
          <w:sz w:val="24"/>
          <w:szCs w:val="24"/>
        </w:rPr>
        <w:t>предпроцедурное</w:t>
      </w:r>
      <w:proofErr w:type="spellEnd"/>
      <w:r w:rsidRPr="00761019">
        <w:rPr>
          <w:rStyle w:val="2"/>
          <w:sz w:val="24"/>
          <w:szCs w:val="24"/>
        </w:rPr>
        <w:t xml:space="preserve"> использование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 не способствует улучшению краткосрочных результатов в отношении ишемии, однако может ассоциироваться со снижением риска ишемии в течение 30 дней после начала опережающей терапии </w:t>
      </w:r>
      <w:proofErr w:type="spellStart"/>
      <w:r w:rsidRPr="00761019">
        <w:rPr>
          <w:rStyle w:val="2"/>
          <w:sz w:val="24"/>
          <w:szCs w:val="24"/>
        </w:rPr>
        <w:t>клопидогрелем</w:t>
      </w:r>
      <w:proofErr w:type="spellEnd"/>
      <w:r w:rsidRPr="00761019">
        <w:rPr>
          <w:rStyle w:val="2"/>
          <w:sz w:val="24"/>
          <w:szCs w:val="24"/>
        </w:rPr>
        <w:t xml:space="preserve">. Добавление </w:t>
      </w:r>
      <w:proofErr w:type="spellStart"/>
      <w:r w:rsidRPr="00761019">
        <w:rPr>
          <w:rStyle w:val="2"/>
          <w:sz w:val="24"/>
          <w:szCs w:val="24"/>
        </w:rPr>
        <w:t>клопидогреля</w:t>
      </w:r>
      <w:proofErr w:type="spellEnd"/>
      <w:r w:rsidRPr="00761019">
        <w:rPr>
          <w:rStyle w:val="2"/>
          <w:sz w:val="24"/>
          <w:szCs w:val="24"/>
        </w:rPr>
        <w:t xml:space="preserve"> повышает риск кровотечений, ассоциирующихся с ранним назначением </w:t>
      </w:r>
      <w:proofErr w:type="spellStart"/>
      <w:r w:rsidRPr="00761019">
        <w:rPr>
          <w:rStyle w:val="2"/>
          <w:sz w:val="24"/>
          <w:szCs w:val="24"/>
        </w:rPr>
        <w:t>эптифибатида</w:t>
      </w:r>
      <w:proofErr w:type="spellEnd"/>
      <w:r w:rsidRPr="00761019">
        <w:rPr>
          <w:rStyle w:val="2"/>
          <w:sz w:val="24"/>
          <w:szCs w:val="24"/>
        </w:rPr>
        <w:t xml:space="preserve">. Эти данные служат подтверждением концепции о ценности комбинированной </w:t>
      </w:r>
      <w:proofErr w:type="spellStart"/>
      <w:r w:rsidRPr="00761019">
        <w:rPr>
          <w:rStyle w:val="2"/>
          <w:sz w:val="24"/>
          <w:szCs w:val="24"/>
        </w:rPr>
        <w:t>антитромбоцитарной</w:t>
      </w:r>
      <w:proofErr w:type="spellEnd"/>
      <w:r w:rsidRPr="00761019">
        <w:rPr>
          <w:rStyle w:val="2"/>
          <w:sz w:val="24"/>
          <w:szCs w:val="24"/>
        </w:rPr>
        <w:t xml:space="preserve"> терапии и указывают на необходимость дальнейших исследований, которые позволят выделить группу пациентов, получающих максимальное преимущество от более интенсивного ингибирования тромбоцитов без значимого избыточного риска кровотечений.</w:t>
      </w:r>
    </w:p>
    <w:sectPr w:rsidR="008F1F16" w:rsidRPr="00761019" w:rsidSect="00FA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E0" w:rsidRDefault="00C702E0" w:rsidP="006F0B61">
      <w:pPr>
        <w:spacing w:before="0"/>
      </w:pPr>
      <w:r>
        <w:separator/>
      </w:r>
    </w:p>
  </w:endnote>
  <w:endnote w:type="continuationSeparator" w:id="0">
    <w:p w:rsidR="00C702E0" w:rsidRDefault="00C702E0" w:rsidP="006F0B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30" w:rsidRDefault="00AD05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16" w:rsidRDefault="00C702E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670C4">
      <w:rPr>
        <w:noProof/>
      </w:rPr>
      <w:t>8</w:t>
    </w:r>
    <w:r>
      <w:rPr>
        <w:noProof/>
      </w:rPr>
      <w:fldChar w:fldCharType="end"/>
    </w:r>
  </w:p>
  <w:p w:rsidR="008F1F16" w:rsidRDefault="008F1F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30" w:rsidRDefault="00AD0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E0" w:rsidRDefault="00C702E0" w:rsidP="006F0B61">
      <w:pPr>
        <w:spacing w:before="0"/>
      </w:pPr>
      <w:r>
        <w:separator/>
      </w:r>
    </w:p>
  </w:footnote>
  <w:footnote w:type="continuationSeparator" w:id="0">
    <w:p w:rsidR="00C702E0" w:rsidRDefault="00C702E0" w:rsidP="006F0B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30" w:rsidRDefault="00AD05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30" w:rsidRDefault="00AD05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530" w:rsidRDefault="00AD0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7FF"/>
    <w:rsid w:val="00064B8D"/>
    <w:rsid w:val="00071DCB"/>
    <w:rsid w:val="000E60BD"/>
    <w:rsid w:val="000F2123"/>
    <w:rsid w:val="00141F11"/>
    <w:rsid w:val="0025636E"/>
    <w:rsid w:val="00292696"/>
    <w:rsid w:val="002F1E25"/>
    <w:rsid w:val="00316702"/>
    <w:rsid w:val="003440C2"/>
    <w:rsid w:val="003521EE"/>
    <w:rsid w:val="00403AAD"/>
    <w:rsid w:val="00477234"/>
    <w:rsid w:val="0055795C"/>
    <w:rsid w:val="00651A77"/>
    <w:rsid w:val="006D0D76"/>
    <w:rsid w:val="006E50BD"/>
    <w:rsid w:val="006F0B61"/>
    <w:rsid w:val="00761019"/>
    <w:rsid w:val="007B4143"/>
    <w:rsid w:val="007F64CC"/>
    <w:rsid w:val="00855F97"/>
    <w:rsid w:val="008F1F16"/>
    <w:rsid w:val="0095512B"/>
    <w:rsid w:val="00A12ED1"/>
    <w:rsid w:val="00AD0530"/>
    <w:rsid w:val="00B12C82"/>
    <w:rsid w:val="00B41949"/>
    <w:rsid w:val="00B670C4"/>
    <w:rsid w:val="00B93148"/>
    <w:rsid w:val="00BB04B2"/>
    <w:rsid w:val="00C227FF"/>
    <w:rsid w:val="00C702E0"/>
    <w:rsid w:val="00CA5757"/>
    <w:rsid w:val="00D60455"/>
    <w:rsid w:val="00D620A5"/>
    <w:rsid w:val="00E209B7"/>
    <w:rsid w:val="00E73320"/>
    <w:rsid w:val="00ED2DAB"/>
    <w:rsid w:val="00F13BD6"/>
    <w:rsid w:val="00FA1C57"/>
    <w:rsid w:val="00F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67"/>
    <w:pPr>
      <w:spacing w:before="120"/>
      <w:jc w:val="both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uiPriority w:val="99"/>
    <w:rPr>
      <w:rFonts w:ascii="Times New Roman" w:hAnsi="Times New Roman"/>
      <w:b/>
      <w:sz w:val="36"/>
      <w:u w:val="none"/>
      <w:lang w:val="ru-RU"/>
    </w:rPr>
  </w:style>
  <w:style w:type="character" w:customStyle="1" w:styleId="30">
    <w:name w:val="Основной текст (3)"/>
    <w:uiPriority w:val="99"/>
    <w:rPr>
      <w:rFonts w:ascii="Times New Roman" w:hAnsi="Times New Roman"/>
      <w:b/>
      <w:color w:val="FFFFFF"/>
      <w:spacing w:val="0"/>
      <w:w w:val="100"/>
      <w:position w:val="0"/>
      <w:sz w:val="36"/>
      <w:u w:val="none"/>
      <w:lang w:val="ru-RU" w:eastAsia="en-US"/>
    </w:rPr>
  </w:style>
  <w:style w:type="character" w:styleId="Hyperlink">
    <w:name w:val="Hyperlink"/>
    <w:uiPriority w:val="99"/>
    <w:rPr>
      <w:rFonts w:cs="Times New Roman"/>
      <w:color w:val="0066CC"/>
      <w:u w:val="single"/>
      <w:lang w:val="ru-RU"/>
    </w:rPr>
  </w:style>
  <w:style w:type="character" w:customStyle="1" w:styleId="31">
    <w:name w:val="Заголовок №3_"/>
    <w:uiPriority w:val="99"/>
    <w:rPr>
      <w:rFonts w:ascii="Times New Roman" w:hAnsi="Times New Roman"/>
      <w:b/>
      <w:sz w:val="30"/>
      <w:u w:val="none"/>
      <w:lang w:val="ru-RU"/>
    </w:rPr>
  </w:style>
  <w:style w:type="character" w:customStyle="1" w:styleId="32">
    <w:name w:val="Заголовок №3"/>
    <w:uiPriority w:val="99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en-US"/>
    </w:rPr>
  </w:style>
  <w:style w:type="character" w:customStyle="1" w:styleId="4">
    <w:name w:val="Основной текст (4)_"/>
    <w:uiPriority w:val="99"/>
    <w:rPr>
      <w:rFonts w:ascii="Times New Roman" w:hAnsi="Times New Roman"/>
      <w:sz w:val="22"/>
      <w:u w:val="none"/>
      <w:lang w:val="ru-RU"/>
    </w:rPr>
  </w:style>
  <w:style w:type="character" w:customStyle="1" w:styleId="40">
    <w:name w:val="Основной текст (4)"/>
    <w:uiPriority w:val="9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en-US"/>
    </w:rPr>
  </w:style>
  <w:style w:type="character" w:customStyle="1" w:styleId="5">
    <w:name w:val="Основной текст (5)_"/>
    <w:uiPriority w:val="99"/>
    <w:rPr>
      <w:rFonts w:ascii="Times New Roman" w:hAnsi="Times New Roman"/>
      <w:sz w:val="19"/>
      <w:u w:val="none"/>
      <w:lang w:val="ru-RU"/>
    </w:rPr>
  </w:style>
  <w:style w:type="character" w:customStyle="1" w:styleId="50">
    <w:name w:val="Основной текст (5) + Полужирный"/>
    <w:aliases w:val="Курсив"/>
    <w:uiPriority w:val="99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51">
    <w:name w:val="Основной текст (5)"/>
    <w:uiPriority w:val="99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6">
    <w:name w:val="Основной текст (6)_"/>
    <w:uiPriority w:val="99"/>
    <w:rPr>
      <w:rFonts w:ascii="Times New Roman" w:hAnsi="Times New Roman"/>
      <w:b/>
      <w:sz w:val="19"/>
      <w:u w:val="none"/>
      <w:lang w:val="ru-RU"/>
    </w:rPr>
  </w:style>
  <w:style w:type="character" w:customStyle="1" w:styleId="60">
    <w:name w:val="Основной текст (6) + Курсив"/>
    <w:uiPriority w:val="99"/>
    <w:rPr>
      <w:rFonts w:ascii="Times New Roman" w:hAnsi="Times New Roman"/>
      <w:b/>
      <w:i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61">
    <w:name w:val="Основной текст (6)"/>
    <w:uiPriority w:val="99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510">
    <w:name w:val="Основной текст (5) + Полужирный1"/>
    <w:uiPriority w:val="99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7">
    <w:name w:val="Основной текст (7)"/>
    <w:uiPriority w:val="99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en-US"/>
    </w:rPr>
  </w:style>
  <w:style w:type="character" w:customStyle="1" w:styleId="2">
    <w:name w:val="Основной текст (2)"/>
    <w:uiPriority w:val="99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en-US"/>
    </w:rPr>
  </w:style>
  <w:style w:type="character" w:customStyle="1" w:styleId="20">
    <w:name w:val="Основной текст (2)_"/>
    <w:uiPriority w:val="99"/>
    <w:rPr>
      <w:rFonts w:ascii="Times New Roman" w:hAnsi="Times New Roman"/>
      <w:sz w:val="18"/>
      <w:u w:val="none"/>
      <w:lang w:val="ru-RU"/>
    </w:rPr>
  </w:style>
  <w:style w:type="character" w:customStyle="1" w:styleId="8">
    <w:name w:val="Основной текст (8)_"/>
    <w:uiPriority w:val="99"/>
    <w:rPr>
      <w:rFonts w:ascii="Times New Roman" w:hAnsi="Times New Roman"/>
      <w:sz w:val="16"/>
      <w:u w:val="none"/>
      <w:lang w:val="ru-RU"/>
    </w:rPr>
  </w:style>
  <w:style w:type="character" w:customStyle="1" w:styleId="80">
    <w:name w:val="Основной текст (8)"/>
    <w:uiPriority w:val="99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en-US"/>
    </w:rPr>
  </w:style>
  <w:style w:type="character" w:customStyle="1" w:styleId="9">
    <w:name w:val="Основной текст (9)_"/>
    <w:uiPriority w:val="99"/>
    <w:rPr>
      <w:rFonts w:ascii="Times New Roman" w:hAnsi="Times New Roman"/>
      <w:b/>
      <w:sz w:val="16"/>
      <w:u w:val="none"/>
      <w:lang w:val="ru-RU"/>
    </w:rPr>
  </w:style>
  <w:style w:type="character" w:customStyle="1" w:styleId="90">
    <w:name w:val="Основной текст (9) + Не полужирный"/>
    <w:aliases w:val="Курсив3"/>
    <w:uiPriority w:val="99"/>
    <w:rPr>
      <w:rFonts w:ascii="Times New Roman" w:hAnsi="Times New Roman"/>
      <w:b/>
      <w:i/>
      <w:color w:val="000000"/>
      <w:spacing w:val="0"/>
      <w:w w:val="100"/>
      <w:position w:val="0"/>
      <w:sz w:val="16"/>
      <w:u w:val="none"/>
      <w:lang w:val="ru-RU" w:eastAsia="en-US"/>
    </w:rPr>
  </w:style>
  <w:style w:type="character" w:customStyle="1" w:styleId="91">
    <w:name w:val="Основной текст (9)"/>
    <w:uiPriority w:val="99"/>
    <w:rPr>
      <w:rFonts w:ascii="Times New Roman" w:hAnsi="Times New Roman"/>
      <w:b/>
      <w:color w:val="000000"/>
      <w:spacing w:val="0"/>
      <w:w w:val="100"/>
      <w:position w:val="0"/>
      <w:sz w:val="16"/>
      <w:u w:val="none"/>
      <w:lang w:val="ru-RU" w:eastAsia="en-US"/>
    </w:rPr>
  </w:style>
  <w:style w:type="character" w:customStyle="1" w:styleId="62">
    <w:name w:val="Заголовок №6_"/>
    <w:uiPriority w:val="99"/>
    <w:rPr>
      <w:rFonts w:ascii="Times New Roman" w:hAnsi="Times New Roman"/>
      <w:b/>
      <w:sz w:val="19"/>
      <w:u w:val="none"/>
      <w:lang w:val="ru-RU"/>
    </w:rPr>
  </w:style>
  <w:style w:type="character" w:customStyle="1" w:styleId="63">
    <w:name w:val="Заголовок №6"/>
    <w:uiPriority w:val="99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10">
    <w:name w:val="Основной текст (10)_"/>
    <w:uiPriority w:val="99"/>
    <w:rPr>
      <w:rFonts w:ascii="Times New Roman" w:hAnsi="Times New Roman"/>
      <w:b/>
      <w:sz w:val="22"/>
      <w:u w:val="none"/>
      <w:lang w:val="ru-RU"/>
    </w:rPr>
  </w:style>
  <w:style w:type="character" w:customStyle="1" w:styleId="100">
    <w:name w:val="Основной текст (10)"/>
    <w:uiPriority w:val="9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en-US"/>
    </w:rPr>
  </w:style>
  <w:style w:type="character" w:customStyle="1" w:styleId="41">
    <w:name w:val="Заголовок №4_"/>
    <w:uiPriority w:val="99"/>
    <w:rPr>
      <w:rFonts w:ascii="Times New Roman" w:hAnsi="Times New Roman"/>
      <w:b/>
      <w:sz w:val="22"/>
      <w:u w:val="none"/>
      <w:lang w:val="ru-RU"/>
    </w:rPr>
  </w:style>
  <w:style w:type="character" w:customStyle="1" w:styleId="42">
    <w:name w:val="Заголовок №4"/>
    <w:uiPriority w:val="99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en-US"/>
    </w:rPr>
  </w:style>
  <w:style w:type="character" w:customStyle="1" w:styleId="81">
    <w:name w:val="Основной текст (8) + Курсив"/>
    <w:uiPriority w:val="99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ru-RU" w:eastAsia="en-US"/>
    </w:rPr>
  </w:style>
  <w:style w:type="character" w:customStyle="1" w:styleId="a">
    <w:name w:val="Подпись к таблице"/>
    <w:uiPriority w:val="99"/>
    <w:rPr>
      <w:rFonts w:ascii="Arial" w:eastAsia="Times New Roman" w:hAnsi="Arial"/>
      <w:b/>
      <w:color w:val="000000"/>
      <w:spacing w:val="0"/>
      <w:w w:val="100"/>
      <w:position w:val="0"/>
      <w:sz w:val="14"/>
      <w:u w:val="none"/>
      <w:lang w:val="ru-RU" w:eastAsia="en-US"/>
    </w:rPr>
  </w:style>
  <w:style w:type="character" w:customStyle="1" w:styleId="52">
    <w:name w:val="Заголовок №5_"/>
    <w:uiPriority w:val="99"/>
    <w:rPr>
      <w:rFonts w:ascii="Times New Roman" w:hAnsi="Times New Roman"/>
      <w:b/>
      <w:sz w:val="19"/>
      <w:u w:val="none"/>
      <w:lang w:val="ru-RU"/>
    </w:rPr>
  </w:style>
  <w:style w:type="character" w:customStyle="1" w:styleId="53">
    <w:name w:val="Заголовок №5"/>
    <w:uiPriority w:val="99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en-US"/>
    </w:rPr>
  </w:style>
  <w:style w:type="character" w:customStyle="1" w:styleId="2Arial">
    <w:name w:val="Основной текст (2) + Arial"/>
    <w:aliases w:val="7 pt"/>
    <w:uiPriority w:val="99"/>
    <w:rPr>
      <w:rFonts w:ascii="Arial" w:eastAsia="Times New Roman" w:hAnsi="Arial"/>
      <w:color w:val="000000"/>
      <w:spacing w:val="0"/>
      <w:w w:val="100"/>
      <w:position w:val="0"/>
      <w:sz w:val="14"/>
      <w:u w:val="none"/>
      <w:lang w:val="ru-RU" w:eastAsia="en-US"/>
    </w:rPr>
  </w:style>
  <w:style w:type="character" w:customStyle="1" w:styleId="2TrebuchetMS">
    <w:name w:val="Основной текст (2) + Trebuchet MS"/>
    <w:aliases w:val="7 pt1,Полужирный,Курсив2"/>
    <w:uiPriority w:val="99"/>
    <w:rPr>
      <w:rFonts w:ascii="Trebuchet MS" w:eastAsia="Times New Roman" w:hAnsi="Trebuchet MS"/>
      <w:b/>
      <w:i/>
      <w:color w:val="000000"/>
      <w:spacing w:val="0"/>
      <w:w w:val="100"/>
      <w:position w:val="0"/>
      <w:sz w:val="14"/>
      <w:u w:val="none"/>
      <w:lang w:val="ru-RU" w:eastAsia="en-US"/>
    </w:rPr>
  </w:style>
  <w:style w:type="character" w:customStyle="1" w:styleId="21">
    <w:name w:val="Подпись к таблице (2)_"/>
    <w:uiPriority w:val="99"/>
    <w:rPr>
      <w:rFonts w:ascii="Arial" w:eastAsia="Times New Roman" w:hAnsi="Arial"/>
      <w:sz w:val="14"/>
      <w:u w:val="none"/>
      <w:lang w:val="ru-RU"/>
    </w:rPr>
  </w:style>
  <w:style w:type="character" w:customStyle="1" w:styleId="22">
    <w:name w:val="Подпись к таблице (2)"/>
    <w:uiPriority w:val="99"/>
    <w:rPr>
      <w:rFonts w:ascii="Arial" w:eastAsia="Times New Roman" w:hAnsi="Arial"/>
      <w:color w:val="000000"/>
      <w:spacing w:val="0"/>
      <w:w w:val="100"/>
      <w:position w:val="0"/>
      <w:sz w:val="14"/>
      <w:u w:val="none"/>
      <w:lang w:val="ru-RU" w:eastAsia="en-US"/>
    </w:rPr>
  </w:style>
  <w:style w:type="character" w:customStyle="1" w:styleId="a0">
    <w:name w:val="Подпись к картинке_"/>
    <w:uiPriority w:val="99"/>
    <w:rPr>
      <w:rFonts w:ascii="Arial" w:eastAsia="Times New Roman" w:hAnsi="Arial"/>
      <w:sz w:val="15"/>
      <w:u w:val="none"/>
      <w:lang w:val="ru-RU"/>
    </w:rPr>
  </w:style>
  <w:style w:type="character" w:customStyle="1" w:styleId="a1">
    <w:name w:val="Подпись к картинке + Полужирный"/>
    <w:uiPriority w:val="99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lang w:val="ru-RU" w:eastAsia="en-US"/>
    </w:rPr>
  </w:style>
  <w:style w:type="character" w:customStyle="1" w:styleId="a2">
    <w:name w:val="Подпись к картинке"/>
    <w:uiPriority w:val="99"/>
    <w:rPr>
      <w:rFonts w:ascii="Arial" w:eastAsia="Times New Roman" w:hAnsi="Arial"/>
      <w:color w:val="000000"/>
      <w:spacing w:val="0"/>
      <w:w w:val="100"/>
      <w:position w:val="0"/>
      <w:sz w:val="15"/>
      <w:u w:val="none"/>
      <w:lang w:val="ru-RU" w:eastAsia="en-US"/>
    </w:rPr>
  </w:style>
  <w:style w:type="character" w:customStyle="1" w:styleId="15">
    <w:name w:val="Основной текст (15)_"/>
    <w:uiPriority w:val="99"/>
    <w:rPr>
      <w:rFonts w:ascii="Arial" w:eastAsia="Times New Roman" w:hAnsi="Arial"/>
      <w:sz w:val="15"/>
      <w:u w:val="none"/>
      <w:lang w:val="ru-RU"/>
    </w:rPr>
  </w:style>
  <w:style w:type="character" w:customStyle="1" w:styleId="150">
    <w:name w:val="Основной текст (15) + Полужирный"/>
    <w:uiPriority w:val="99"/>
    <w:rPr>
      <w:rFonts w:ascii="Arial" w:eastAsia="Times New Roman" w:hAnsi="Arial"/>
      <w:b/>
      <w:color w:val="000000"/>
      <w:spacing w:val="0"/>
      <w:w w:val="100"/>
      <w:position w:val="0"/>
      <w:sz w:val="15"/>
      <w:u w:val="none"/>
      <w:lang w:val="ru-RU" w:eastAsia="en-US"/>
    </w:rPr>
  </w:style>
  <w:style w:type="character" w:customStyle="1" w:styleId="151">
    <w:name w:val="Основной текст (15)"/>
    <w:uiPriority w:val="99"/>
    <w:rPr>
      <w:rFonts w:ascii="Arial" w:eastAsia="Times New Roman" w:hAnsi="Arial"/>
      <w:color w:val="000000"/>
      <w:spacing w:val="0"/>
      <w:w w:val="100"/>
      <w:position w:val="0"/>
      <w:sz w:val="15"/>
      <w:u w:val="none"/>
      <w:lang w:val="ru-RU" w:eastAsia="en-US"/>
    </w:rPr>
  </w:style>
  <w:style w:type="character" w:customStyle="1" w:styleId="25">
    <w:name w:val="Основной текст (2) + 5"/>
    <w:aliases w:val="5 pt"/>
    <w:uiPriority w:val="99"/>
    <w:rPr>
      <w:rFonts w:ascii="Times New Roman" w:hAnsi="Times New Roman"/>
      <w:color w:val="000000"/>
      <w:spacing w:val="0"/>
      <w:w w:val="100"/>
      <w:position w:val="0"/>
      <w:sz w:val="11"/>
      <w:u w:val="none"/>
      <w:lang w:val="ru-RU" w:eastAsia="en-US"/>
    </w:rPr>
  </w:style>
  <w:style w:type="character" w:customStyle="1" w:styleId="2Arial1">
    <w:name w:val="Основной текст (2) + Arial1"/>
    <w:aliases w:val="8,5 pt1,Курсив1"/>
    <w:uiPriority w:val="99"/>
    <w:rPr>
      <w:rFonts w:ascii="Arial" w:eastAsia="Times New Roman" w:hAnsi="Arial"/>
      <w:i/>
      <w:color w:val="000000"/>
      <w:spacing w:val="0"/>
      <w:w w:val="100"/>
      <w:position w:val="0"/>
      <w:sz w:val="17"/>
      <w:u w:val="none"/>
      <w:lang w:val="ru-RU" w:eastAsia="en-US"/>
    </w:rPr>
  </w:style>
  <w:style w:type="character" w:customStyle="1" w:styleId="152">
    <w:name w:val="Основной текст (15) + Малые прописные"/>
    <w:uiPriority w:val="99"/>
    <w:rPr>
      <w:rFonts w:ascii="Arial" w:eastAsia="Times New Roman" w:hAnsi="Arial"/>
      <w:smallCaps/>
      <w:color w:val="000000"/>
      <w:spacing w:val="0"/>
      <w:w w:val="100"/>
      <w:position w:val="0"/>
      <w:sz w:val="15"/>
      <w:u w:val="none"/>
      <w:lang w:val="ru-RU" w:eastAsia="en-US"/>
    </w:rPr>
  </w:style>
  <w:style w:type="character" w:customStyle="1" w:styleId="a3">
    <w:name w:val="Подпись к таблице_"/>
    <w:uiPriority w:val="99"/>
    <w:rPr>
      <w:rFonts w:ascii="Arial" w:eastAsia="Times New Roman" w:hAnsi="Arial"/>
      <w:b/>
      <w:sz w:val="14"/>
      <w:u w:val="none"/>
      <w:lang w:val="ru-RU"/>
    </w:rPr>
  </w:style>
  <w:style w:type="character" w:customStyle="1" w:styleId="17">
    <w:name w:val="Основной текст (17)"/>
    <w:uiPriority w:val="99"/>
    <w:rPr>
      <w:rFonts w:ascii="Arial" w:eastAsia="Times New Roman" w:hAnsi="Arial"/>
      <w:color w:val="000000"/>
      <w:spacing w:val="0"/>
      <w:w w:val="100"/>
      <w:position w:val="0"/>
      <w:sz w:val="14"/>
      <w:u w:val="none"/>
      <w:lang w:val="ru-RU" w:eastAsia="en-US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0B61"/>
    <w:pPr>
      <w:tabs>
        <w:tab w:val="center" w:pos="4677"/>
        <w:tab w:val="right" w:pos="9355"/>
      </w:tabs>
      <w:spacing w:before="0"/>
    </w:pPr>
  </w:style>
  <w:style w:type="character" w:customStyle="1" w:styleId="HeaderChar">
    <w:name w:val="Header Char"/>
    <w:link w:val="Header"/>
    <w:uiPriority w:val="99"/>
    <w:locked/>
    <w:rsid w:val="006F0B61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F0B61"/>
    <w:pPr>
      <w:tabs>
        <w:tab w:val="center" w:pos="4677"/>
        <w:tab w:val="right" w:pos="9355"/>
      </w:tabs>
      <w:spacing w:before="0"/>
    </w:pPr>
  </w:style>
  <w:style w:type="character" w:customStyle="1" w:styleId="FooterChar">
    <w:name w:val="Footer Char"/>
    <w:link w:val="Footer"/>
    <w:uiPriority w:val="99"/>
    <w:locked/>
    <w:rsid w:val="006F0B61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irc.ahajournals.org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6104</Words>
  <Characters>44749</Characters>
  <Application>Microsoft Office Word</Application>
  <DocSecurity>0</DocSecurity>
  <Lines>1118</Lines>
  <Paragraphs>450</Paragraphs>
  <ScaleCrop>false</ScaleCrop>
  <Company/>
  <LinksUpToDate>false</LinksUpToDate>
  <CharactersWithSpaces>50403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зак. №540, 2018 г.</dc:description>
  <cp:lastModifiedBy/>
  <cp:revision>1</cp:revision>
  <dcterms:created xsi:type="dcterms:W3CDTF">2018-09-23T11:58:00Z</dcterms:created>
  <dcterms:modified xsi:type="dcterms:W3CDTF">2018-09-23T12:10:00Z</dcterms:modified>
</cp:coreProperties>
</file>